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MERCANTIL</w:t>
      </w:r>
    </w:p>
    <w:p>
      <w:r>
        <w:rPr>
          <w:i/>
          <w:iCs/>
          <w:color w:val="666666"/>
        </w:rPr>
        <w:t xml:space="preserve">REVISÃO DE CONTRATO</w:t>
      </w:r>
    </w:p>
    <w:p/>
    <w:p>
      <w:r>
        <w:rPr>
          <w:b/>
          <w:bCs/>
        </w:rPr>
        <w:t xml:space="preserve">Recurso: </w:t>
      </w:r>
      <w:r>
        <w:t xml:space="preserve">agravo de instrumento 50.133-9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AÇÃO CIVIL PÚBLICA — COBRANÇA DE TAXA DE ILUMINAÇÃO PÚBLICA C/ TAXA DE ENERGIA ELÉTRICA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O MINISTÉRIO PÚBLICO DA ................, por intermédio da ....ª e ....ª Promotorias de Justiça de ................, com base na Constituição da República, na Constituição do Estado, nas Leis Federais n. 7.347/85, 8.078/90 e 8.625/93 e na Lei Complementar Estadual n. 11/96, e fundamento nas peças de informação em anexo, vem propor a presente AÇÃO CIVIL PÚBLICA COM PEDIDO DE OBRIGAÇÃO DE NÃO FAZER E ANTECIPAÇÃO DE TUTELA em face de ................ - Companhia de Eletricidade da ................, pessoa jurídica de direito privado, com sede na Av. ........, n. ......, ................-....., inscrita no CNPJ sob n. ........, representada por seu Diretor Presidente, Sr. ................, pelos motivos de fato e de direito a seguir aduzidos. DOS FATOS Desde ......... de ......, a ................ vem fazendo a cobrança nas suas notas fiscais (contas de energia elétrica) da taxa de iluminação pública instituída pelo Município de .................A TIP foi criada em ................ pela Lei Municipal n. 1932/97, e a cobrança desse tributo somente se viabilizou porque a ................, ora suplicada, violando o princípio da lealdade que rege e deve reger as relações de consumo, forneceu ao Município o cadastro de seus consumidores e passou a incluir nas contas de energia elétrica o valor referente à TIP. A ................ e o Município de ................ firmaram entre si um convênio pelo qual a ................ se obrigou a realizar a referida cobrança, auferindo com isso um lucro de 5% (cinco porcento) sobre o valor da arrecadação da taxa, que tem sido superior a cento e cinqüenta mil reais mensais.Por considerar que a TIP é inconstitucional, o Ministério Público propôs perante a Vara da Fazenda Pública ação civil contra o MUNICÍPIO DE ................ e a ................ para que fosse proibida a cobrança da TIP pelo poder público e para que fosse decretada a nulidade do convênio firmado entre ambos, bem como para que fosse declarada incidentalmente a inconstitucionalidade da taxa de iluminação pública. A ação proposta pelo Ministério Público foi ali tombada sob o número geral ...........(número no cartório .......). A MM. Juíza da Vara da Fazenda Pública concedeu a antecipação da tutela em ............ asseverando que "existe prova inequívoca de que a norma que criou a taxa de iluminação pública (TIP), cobrada, viola os dispositivos do art. 91, inciso II e parágrafos 2º e 3º, alínea a da Lei Orgânica do Município de ................ (LOMFS) e a Constituição Federal", dizendo mais que "o sistema tributário municipal tem que sujeitar-se às normas do Código Tributário Nacional (CTN)".Fica claro que a decisão judicial de antecipação de tutela teve fundamento apenas na legislação tributária (municipal e federal) e na norma constitucional, não tratando de relação de consumo. Tanto isso é verdade que, em decisão proferida no agravo de instrumento 50.133-9, da 2ª Câmara Cível, o Des. AMADIZ BARRETO suspendeu a execução da antecipação da tutela argumentando que faltava legitimidade ativa ao Parquet para a propositura daquela ação, porque o magistrado entendeu que ali se discutiam interesses dos contribuintes municipais, e não de consumidores. A ação civil pública continua em curso nesta comarca, aproximando-se da fase de saneamento, e o agravo está no Tribunal de Justiça, já com contra-razões ministeriais. Todavia, em decorrência de direito superveniente tem-se agora clara expressão normativa para a defesa dos consumidores no que se refere à TIP. Deixe-se logo assentado que não há aqui litispendência. A presente ação busca proibir a ................ de instrumentalizar o Município de ................ na cobrança da taxa em detrimento de seus consumidores, impedindo-lhe: a) o fornecimento do seu cadastro de consumidores ao Município de ................; b) a inclusão da cobrança da taxa nas contas de consumo; e c) a imposição de pagamento casado, ou seja, de pagamento da conta de energia juntamente com a TIP, sem alternativa para o consumidor.Diversamente, na ação que tem curso perante a Vara da Fazenda Pública, objetivou-se proibir a cobrança mesma da TIP, ou seja, visou-se a eliminar do mundo jurídico a própria taxa. Aqui, como se vê, não se discute a constitucionalidade ou legalidade da TIP, mas sim a prática abusiva da ................, que viola os deveres de lealdade e de boa-fé que deve cumprir em relação aos seus consumidores.Im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2026-10-26T03:23:25.226Z</dcterms:created>
  <dcterms:modified xsi:type="dcterms:W3CDTF">2026-10-26T03:23:25.226Z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