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Apelação .</w:t>
      </w:r>
    </w:p>
    <w:p/>
    <w:p>
      <w:r>
        <w:t xml:space="preserve">APELAÇÃO — DECISÃO QUE NEGOU A EXISTÊNCIA DE ANATOCISMO APLICADO POR INSTITUIÇÃO BANCÁRIA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PRELIMINARMENTE DA TEMPESTIVIDADE Os apelantes foram intimados da decisão em ..........., quinta-feira, encerrando-se o prazo para apelar em .........., ou seja, dez dias normais para manifestação, mais três dias em decorrência de os autos estarem em Comarca do Interior. Com a superveniência de período de Férias Forenses, foi suspenso o decurso dos prazos processuais entre os dias ......... a ........., os quais voltaram a fluir a partir de ..... de ......... de ........, quinta-feira, primeiro dia útil após as férias. O Código de Processo Civil, quanto à contagem dos prazos, legisla: "Art. 179. A superveniência de férias suspenderá o curso do prazo, o que lhe sobejar recomeçará a correr do primeiro dia útil seguinte ao termo das férias." "Art. 184 - Salvo disposição em contrário, computar-se-ão os prazos, excluindo o dia do começo e incluindo o do vencimento. § 2º Os prazos somente começam a correr do 1º (primeiro) dia útil após a intimação (art. 240 e parágrafo único)." Assim, obedecido o prazo para apelação, deverão estas ser devidamente conhecidas e, em decorrência de seus termos, providas, determinando pela reforma parcial do r. decidere de 1ª instância. DO MÉRITO DOS FATOS O apelado adentrou com feito executório perante este Douto Juízo de Direito em face dos aqui apelantes, embasado em "Instrumento Particular de Confissão, Composição de Dívida e Forma de Pagamento e Outras Avenças", este de nº ............, firmada aos ..........., no valor original de R$ ............ A contratação objeto do procedimento teve origem em anterior operação de financiamento da modalidade Super Cheque e desconto de títulos, entretanto, apesar de expressamente alegada a existência de anteriores financiamentos que originaram o contrato alvo da presente execucional, o ora apelado não anexou ao caderno processual nenhum extrato de movimentação da conta-corrente originária da confissão de dívida objeto, firmada no valor de R$ ............... Conferindo ao fei to o valor de R$ ............., o ora apelado baseou-se em demonstrativos elaborados unilateralmente, não indicando com clareza a origem da obrigação, mascarando a anterior operação realizada com a que pretende executar. Tendo sido a confissão de dívida imposta aos ora apelantes pelo valor de R$ ........., deveria ser esta a quantia constante na conta-corrente dos mesmos na data de ............, momento em que foi efetuada a renegociação, já que os fatos não restaram comprovados, ante a ausência de demonstrativos de movimentação de aludida conta-corrente. Afinal, partiu a exequente do valor advindo de operação de 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2026-09-10T22:20:26.186Z</dcterms:created>
  <dcterms:modified xsi:type="dcterms:W3CDTF">2026-09-10T22:20:26.186Z</dcterms:modified>
</cp:coreProperties>
</file>

<file path=docProps/custom.xml><?xml version="1.0" encoding="utf-8"?>
<Properties xmlns="http://schemas.openxmlformats.org/officeDocument/2006/custom-properties" xmlns:vt="http://schemas.openxmlformats.org/officeDocument/2006/docPropsVTypes"/>
</file>