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Agravo de Instrumento .</w:t>
      </w:r>
    </w:p>
    <w:p>
      <w:r>
        <w:rPr>
          <w:b/>
          <w:bCs/>
        </w:rPr>
        <w:t xml:space="preserve">Tribunal: </w:t>
      </w:r>
      <w:r>
        <w:t xml:space="preserve">STF</w:t>
      </w:r>
    </w:p>
    <w:p/>
    <w:p>
      <w:r>
        <w:t xml:space="preserve">IMPUGNAÇÃO À EXCEÇÃO DE INCOMPETÊNCIA</w:t>
      </w:r>
    </w:p>
    <w:p/>
    <w:p>
      <w:pPr>
        <w:pStyle w:val="Heading2"/>
      </w:pPr>
      <w:r>
        <w:rPr>
          <w:b/>
          <w:bCs/>
        </w:rPr>
        <w:t xml:space="preserve">Ementa</w:t>
      </w:r>
    </w:p>
    <w:p>
      <w:r>
        <w:t xml:space="preserve">EXMO. SR. DR. JUIZ DE DIREITO DA ..... VARA CÍVEL DA COMARCA DE ....., ESTADO DO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IMPUGNAÇÃO À EXCEÇÃO DE INCOMPETÊNCIA apresentada por ......, pelos motivos de fato e de direito a seguir aduzidos. DOS FATOS Proposta ação de Busca e Apreensão fundamentado em contrato de alienação fiduciária e adesão a grupo de consórcio, autuada sob n.º ......, foi expedida Carta Precatória para cidade de ....., Estado do ........, para o cumprimento da liminar de Busca e Apreensão deferida. Antes mesmo do cumprimento da liminar concedida às fls. .... dos autos, interpõe o requerido, ora excipiente, a presente Exceção de Incompetência alegado ser este Juízo incompetente para o julgamento da Ação de Busca e Apreensão, requerendo a remessa dos autos para ............, onde mora. Relatou em suas razoes que, de acordo com o art. 51 do Código de Defesa do Consumidor, o foro competente para o processamento e julgamento do feito seria o daquela Comarca. Tais alegações não merecem prosperar, pois tais entendimentos vem a contrair não só a dominante e pacifica jurisprudência, como ao bom senso e moralidade que norteiam o judiciário, se não vejamos: Conforme podemos concluir dos autos, o requerido, ora excipiente, às fls. ... e ... dos autos de Busca e Apreensão, é cessionário de um contrato de A lienação Fiduciária, efetuado entre a excepta e terceira pessoa. Desta forma, sendo ele, cessionário, por direito, o mesmo aceitou todas as condições do contrato estipulado, inclusive com a eleição do foro, sendo esta comarca competente para dirimir quaisquer problemas originados pelo referido contrato. Importante destacar que o contrato de consórcio estabelece relações multilaterais com ênfase no vinculo obrigacional entre o consorciado individualmente considerado e a coletividade dos consorciados integrantes do grupo. Dessa forma, a ação judicial fundada no contrato de participação em grupo de consorcio envolverá interesses coletivos, independente do pólo que estiver, ativo ou passivo. Sendo o grupo de consorcio verdadeira associação de consumidores, é evidente que os respectivos direitos e interesse deverão ser tutelados. A especificidade do contrato de consorcio, destaca que a natureza coletiva, não escapa desapercebida da autoridade normatizadora e fiscalizadora do Sistema de Consórcio, o Banco Central do Brasil, que estabelece na Circular n. º 2.766/97 a prevalência do interesse coletivo sobre o individual. Então, seguindo este raciocínio lógico, temos que nos conflitos decorrentes do contrato de consórcio o foro competente para dirimi-los há de ser o de domicilio de constituição do grupo e não do consorciado. A facilidade do acesso ao Poder Judiciário é de ser assegurada ao grupo de consorciados, já que a atuação se dará na defesa dos direitos e interesses coletivamente nele obrigados. DO DIREITO É o entendimento do Egrégio Tribunal de Justiça do Estado do Paraná, em julgamento a respeito da matéria: "COMPETÊNCIA - Foro de eleição - Cláusula expressamente consignado no contrato, que atende à norma do artigo 111 do CPC - Prevalência, portanto que há de ser respeitada, eis que pactuada com livres disposições de vontade das partes - Exceção de incompetência procedente. Ementa Oficial: Competência - Foro de eleição - Legitimidade de cláus ula - Prevalência da nomeação do foro - Contrato de consorcio de veículos e escolha livre do foro no tocante a competência territorial para ações oriundas de direito e obrigações do mesmo contrato, perfeitamente válida é a eleição do foro, mesmo porque esta consignada com a súmula 335 do STF. Agravo Improvido" (Rel. Dês. Negi Calixto - 2º C. - RT 653/168). O mesmo entendimento teve o Tribunal da Alçada do Estado do Paraná, no Acórdão n.º 8.489, 6º Câmara Cível, Rel. Paulo Habith: "Processual Civil. Competência. Agravo de Instrumento. Exceção de Incompetência. Execuç</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2026-10-26T03:25:38.143Z</dcterms:created>
  <dcterms:modified xsi:type="dcterms:W3CDTF">2026-10-26T03:25:38.143Z</dcterms:modified>
</cp:coreProperties>
</file>

<file path=docProps/custom.xml><?xml version="1.0" encoding="utf-8"?>
<Properties xmlns="http://schemas.openxmlformats.org/officeDocument/2006/custom-properties" xmlns:vt="http://schemas.openxmlformats.org/officeDocument/2006/docPropsVTypes"/>
</file>