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Agravo de Instrumento .</w:t>
      </w:r>
    </w:p>
    <w:p>
      <w:r>
        <w:rPr>
          <w:b/>
          <w:bCs/>
        </w:rPr>
        <w:t xml:space="preserve">Tribunal: </w:t>
      </w:r>
      <w:r>
        <w:t xml:space="preserve">STF</w:t>
      </w:r>
    </w:p>
    <w:p/>
    <w:p>
      <w:r>
        <w:t xml:space="preserve">IMPUGNAÇÃO À EXCEÇÃO DE INCOMPETÊNCIA</w:t>
      </w:r>
    </w:p>
    <w:p/>
    <w:p>
      <w:pPr>
        <w:pStyle w:val="Heading2"/>
      </w:pPr>
      <w:r>
        <w:rPr>
          <w:b/>
          <w:bCs/>
        </w:rPr>
        <w:t xml:space="preserve">Ementa</w:t>
      </w:r>
    </w:p>
    <w:p>
      <w:r>
        <w:t xml:space="preserve">EXMO. SR. DR. JUIZ DE DIREITO DA ..... VARA CÍVEL DA COMARCA DE ....., ESTADO DO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IMPUGNAÇÃO À EXCEÇÃO DE INCOMPETÊNCIA apresentada por ......, pelos motivos de fato e de direito a seguir aduzidos. DOS FATOS Proposta ação de Busca e Apreensão fundamentado em contrato de alienação fiduciária e adesão a grupo de consórcio, autuada sob n.º ......, foi expedida Carta Precatória para cidade de ....., Estado do ........, para o cumprimento da liminar de Busca e Apreensão deferida. Antes mesmo do cumprimento da liminar concedida às fls. .... dos autos, interpõe o requerido, ora excipiente, a presente Exceção de Incompetência alegado ser este Juízo incompetente para o julgamento da Ação de Busca e Apreensão, requerendo a remessa dos autos para ............, onde mora. Relatou em suas razoes que, de acordo com o art. 51 do Código de Defesa do Consumidor, o foro competente para o processamento e julgamento do feito seria o daquela Comarca. Tais alegações não merecem prosperar, pois tais entendimentos vem a contrair não só a dominante e pacifica jurisprudência, como ao bom senso e moralidade que norteiam o judiciário, se não vejamos: Conforme podemos concluir dos autos, o requerido, ora excipiente, às fls. ... e ... dos autos de Busca e Apreensão, é cessionário de um contrato de A lienação Fiduciária, efetuado entre a excepta e terceira pessoa. Desta forma, sendo ele, cessionário, por direito, o mesmo aceitou todas as condições do contrato estipulado, inclusive com a eleição do foro, sendo esta comarca competente para dirimir quaisquer problemas originados pelo referido contrato. Importante destacar que o contrato de consórcio estabelece relações multilaterais com ênfase no vinculo obrigacional entre o consorciado individualmente considerado e a coletividade dos consorciados integrantes do grupo. Dessa forma, a ação judicial fundada no contrato de participação em grupo de consorcio envolverá interesses coletivos, independente do pólo que estiver, ativo ou passivo. Sendo o grupo de consorcio verdadeira associação de consumidores, é evidente que os respectivos direitos e interesse deverão ser tutelados. A especificidade do contrato de consorcio, destaca que a natureza coletiva, não escapa desapercebida da autoridade normatizadora e fiscalizadora do Sistema de Consórcio, o Banco Central do Brasil, que estabelece na Circular n. º 2.766/97 a prevalência do interesse coletivo sobre o individual. Então, seguindo este raciocínio lógico, temos que nos conflitos decorrentes do contrato de consórcio o foro competente para dirimi-los há de ser o de domicilio de constituição do grupo e não do consorciado. A facilidade do acesso ao Poder Judiciário é de ser assegurada ao grupo de consorciados, já que a atuação se dará na defesa dos direitos e interesses coletivamente nele obrigados. DO DIREITO É o entendimento do Egrégio Tribunal de Justiça do Estado do Paraná, em julgamento a respeito da matéria: "COMPETÊNCIA - Foro de eleição - Cláusula expressamente consignado no contrato, que atende à norma do artigo 111 do CPC - Prevalência, portanto que há de ser respeitada, eis que pactuada com livres disposições de vontade das partes - Exceção de incompetência procedente. Ementa Oficial: Competência - Foro de eleição - Legitimidade de cláus ula - Prevalência da nomeação do foro - Contrato de consorcio de veículos e escolha livre do foro no tocante a competência territorial para ações oriundas de direito e obrigações do mesmo contrato, perfeitamente válida é a eleição do foro, mesmo porque esta consignada com a súmula 335 do STF. Agravo Improvido" (Rel. Dês. Negi Calixto - 2º C. - RT 653/168). O mesmo entendimento teve o Tribunal da Alçada do Estado do Paraná, no Acórdão n.º 8.489, 6º Câmara Cível, Rel. Paulo Habith: "Processual Civil. Competência. Agravo de Instrumento. Exceção de Incompetência. Execuç</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2026-07-28T00:17:52.904Z</dcterms:created>
  <dcterms:modified xsi:type="dcterms:W3CDTF">2026-07-28T00:17:52.904Z</dcterms:modified>
</cp:coreProperties>
</file>

<file path=docProps/custom.xml><?xml version="1.0" encoding="utf-8"?>
<Properties xmlns="http://schemas.openxmlformats.org/officeDocument/2006/custom-properties" xmlns:vt="http://schemas.openxmlformats.org/officeDocument/2006/docPropsVTypes"/>
</file>