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Recurso: </w:t>
      </w:r>
      <w:r>
        <w:t xml:space="preserve">AGRAVO DE INSTRUMENTO 1790/1996</w:t>
      </w:r>
    </w:p>
    <w:p>
      <w:r>
        <w:rPr>
          <w:b/>
          <w:bCs/>
        </w:rPr>
        <w:t xml:space="preserve">Tribunal: </w:t>
      </w:r>
      <w:r>
        <w:t xml:space="preserve">STJ</w:t>
      </w:r>
    </w:p>
    <w:p>
      <w:r>
        <w:rPr>
          <w:b/>
          <w:bCs/>
        </w:rPr>
        <w:t xml:space="preserve">Relator: </w:t>
      </w:r>
      <w:r>
        <w:t xml:space="preserve">SEVERINO IGNÁCIO ARAGÃO</w:t>
      </w:r>
    </w:p>
    <w:p/>
    <w:p>
      <w:r>
        <w:t xml:space="preserve">CONTESTAÇÃO À AÇÃO DE BUSCA E APREENSÃO, REQUERENDO SEJA PURGADA A MORA</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CONTESTAÇÃO C/C PEDIDO DE PURGAÇÃO DA MORA na Ação de Busca e Apreensão acima identificada, ajuizada por ....., pelos motivos de fato e de direito a seguir aduzidos. PRELIMINARMENTE 1- DA CARÊNCIA DA AÇÃO 1.1 FALTA DE REGISTRO EM CARTÓRiO DE TÍTULOS E DOCUMENTOS C/C INCOMPETÊNCIA TERRITORIAL (CDC ART. 54 e segts) O presente feito vem fulminado pela falta de condição da ação no que concerne, à exigência legal do Dec. 911/1969, ao nosso ver já derrogado pela CF de 1988, onde determina que deverá o contrato que firmou o compromisso, bem como o termo de alienacão do bem ser registrado no cartório de títulos e documentos para que tenha assegurada a eleição de foro, apesar de que é matéria já superada pelo próprio CDC e que está sendo discutida em sede de Exceção que se processa em apenso à este, caso contrário, deverá a medida ser proposta no domicílio do réu. Há que se atentar também para o fato de que, afora todos os preceitos máximos de nossa Lei Constitucional, a qual não abriga a medida extrema do Ação de busca e apreensão e seus meandros, esta fruto do "totalitarismo ditatorial" , posto que fere as garantias essenciais do cidadão lá elencadas, ainda mais corroborada pela Lei n.° 8.078/1990, ou seja nosso Código de defesa do Consumidor, que neste caso é invocado, entre outros termos para assegura que nos casos de co ntrato de adesão, o foro assegurado é o do domicílio do réu, e não aquele eleito em "contrato de adesão" , o qual deve ser desconsiderado, conforme preceitua o CDC art. 54. Diante disso, pede pela extinção do feito sim julgamento do mérito, com a devida restituição do bem ao réu, ora CONTESTANTE, por ser medida em consonãncia com o devido processo legal, ainda pelos argumentos neste tópico trazidos, fulminando pelas cominações de estilo. 1.2 - FALTA DE CONDIÇÃO DA AÇÃO - CAUSA DE PEDIR FALTA DE COMPROVAÇÃO DA MORA O réu, ora CONTESTANTE fora constituído em mora de forma torpe e nula, uma vez que não se fez nos termos da legislação vigente e do art. 160 e parágrafos, da lei n° 6.015/73, como se percebe nos autos, pois que mesmo havendo a notificação de fls. , esta não se presta para a constituição do RÉU em mora. Posto, que este desde o início, quando encontrava-se com atraso de apenas alguns dias, o CONTESTANTE, tentou pagar o valor devido, porém houve uma espécie de "bloqueio" por parte da autora, ora CONTESTADA, uma vez que passou a solicitar valor excessivamente alto, chegando ao cúmulo de em meados do mês de ............., quando ainda haviam ................... prestações em atraso, que totalizariam, já acrescidos dos encargos legais e contratuais, o valor R$ ..............................., valor repassado pelo próprio "Dr. ..................." Ilustre patrono desta causa, onde junto à assessoria jurídica da CONTESTADA, fora exigido, "extra-oficialmente" o valor de mais R$ ............................., de "honorários" totalizando o valor de R$ ..........................., no que o CONTESTANTE chegou a propor valores acima do devido, porém menores do que os exigidos, no entanto não foram aceitos, não restando outra saída para o mesmo a não ser DEPOSITAR em conta corrente da CONTESTADA, dia ..........................., o valor de R$ ....................................., referente as parcelas dos meses ............. à .................... ., ficando em aberto apenas o mês de ............................, sendo solicitado o envio do bloqueio o que não ocorreu, mesmo após o depósito foi passado via fax cópia do mesmo, ainda assim não foi possível compor acordo amigável com a ora CONTESTADA. Talvez porque a mesma já havia protocolado a presente ação e esperava a expedição da Carta Precotória que encontra-se na sua posse. Partindo-se da premissa extraída do art. 963 do CC atual, não havendo fato ou omissão imputável ao devedor, não incorre este em mora. A mora é definida como o injusto retardamento 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2026-10-26T05:39:09.877Z</dcterms:created>
  <dcterms:modified xsi:type="dcterms:W3CDTF">2026-10-26T05:39:09.877Z</dcterms:modified>
</cp:coreProperties>
</file>

<file path=docProps/custom.xml><?xml version="1.0" encoding="utf-8"?>
<Properties xmlns="http://schemas.openxmlformats.org/officeDocument/2006/custom-properties" xmlns:vt="http://schemas.openxmlformats.org/officeDocument/2006/docPropsVTypes"/>
</file>