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DECISÃO INTERLOCUTÓRIA</w:t>
      </w:r>
    </w:p>
    <w:p/>
    <w:p/>
    <w:p>
      <w:r>
        <w:t xml:space="preserve">REQUERIMENTO PARA RETIRADA DE NOME DE CADASTRO DE INADIMPLENTES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CÍVEL DA COMARCA DE ....., ESTADO DO .....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requerer o que segue. Como informado pelo próprio banco, a Medida Cautelar n.º ........... deferiu efeito suspensivo ao recurso especial, até o julgamento deste. No entanto, o Recurso Especial não foi admitido no E. Tribunal de alçada, conforme cópia do despacho em anexo, bem como já anexado nos autos principais (........./........); o que também foi informado na petição do banco. Desta forma, no meu modestíssimo entender, não subsiste a liminar, porquanto não deferiu efeito suspensivo ao Agravo de Instrumento (para subida do recurso Especial). De sorte que, o Ministro relator da Medida Cautelar já determinou que você informado pelas partes a situação do Recurso Especial, ou seja, se foi ou não admitido, sendo que não foi admitido. Assim, mesmo que ainda não tenha sido revogada a liminar que deferiu efeito suspensivo ao Recurso Especial, não há óbice ao prosseguimento da execução da decisão. DOS PEDIDOS Posto isto, requer seja deferido a baixa junto ao ...... da restrição (arrendamento), após a oitiva do Digno Representante do Ministério Público, por ser medida de aplicação da mais elevada JUSTIÇA. Nesses Termos, Pede Deferimento. Local e data ... Advogado OAB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2026-07-28T04:24:43.635Z</dcterms:created>
  <dcterms:modified xsi:type="dcterms:W3CDTF">2026-07-28T04:24:43.635Z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