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DIVERGÊNCIA PARCIAL</w:t>
      </w:r>
    </w:p>
    <w:p/>
    <w:p>
      <w:r>
        <w:rPr>
          <w:b/>
          <w:bCs/>
        </w:rPr>
        <w:t xml:space="preserve">Recurso: </w:t>
      </w:r>
      <w:r>
        <w:t xml:space="preserve">Recurso Especial 1.285-</w:t>
      </w:r>
    </w:p>
    <w:p>
      <w:r>
        <w:rPr>
          <w:b/>
          <w:bCs/>
        </w:rPr>
        <w:t xml:space="preserve">Tribunal: </w:t>
      </w:r>
      <w:r>
        <w:t xml:space="preserve">STF</w:t>
      </w:r>
    </w:p>
    <w:p/>
    <w:p>
      <w:r>
        <w:t xml:space="preserve">EMBARGOS À EXECUÇÃO — TAXA DE JUROS - INSTITUIÇÃO FINANCEIRA</w:t>
      </w:r>
    </w:p>
    <w:p/>
    <w:p>
      <w:pPr>
        <w:pStyle w:val="Heading2"/>
      </w:pPr>
      <w:r>
        <w:rPr>
          <w:b/>
          <w:bCs/>
        </w:rPr>
        <w:t xml:space="preserve">Ementa</w:t>
      </w:r>
    </w:p>
    <w:p>
      <w:r>
        <w:t xml:space="preserve">EXMO. SR. DR. JUIZ DE DIREITO DA ..... VARA CÍVEL DA COMARCA DE ....., ESTADO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EMBARGOS DO DEVEDOR em face de BANCO ...., instituição financeira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Exequente alega ser credora dos Executados da importância de R$ .... (....), cuja origem é uma Cédula de Crédito Industrial nº ...., no valor de R$ .... (....), com a vinculação de garantias hipotecárias. A Exequente alega que os Executados deixaram de efetuar o pagamento convencionado, cujo último vencimento era previsto para a data de .../.../... Os Executados não ignoraram a existência de um contrato de empréstimo firmado com a Exequente, e que deveriam efetivar o último pagamento em data de .... de .... de .... Ocorre que, a Exequente tornou impraticável o pagamento do avençado, pois aplicou percentuais diferentes sobre o débito original, caracterizando a cobrança de juros sobre juros, num flagrante desrespeito ao contido no Decreto 22.626 de abril de 1933 que proibe a co brança de juros compostos sobre empréstimos bancários. A aplicação de juros permitida pela legislação pátria é a cobrança de juros simples incidentes sobre o capital inicial. A Exequente, numa demonstração de prática ilícita, por primeiro, pretende incidir a Ré em mora em valores superiores ao devido; e por segundo, não faz prova analítica do débito e sim demonstra um débito, cujo valor é inexistente. As taxas praticadas pela Autora colidem frontalmente com a legislação vigente. O valor original do débito é de R$ .... (....), mas a Autora pretende receber o montante de R$ .... (....), ou seja, juros de R$ .... (....) sobre o débito original, o que demonstra ter a Autora alterado de forma unilateral e arbitrariamente o contrato, impondo à Executada valores inexistentes, o que torna nulo o título executivo de pleno direito. O montante pretendido pela Exequente é inexistente. A Embargante, nestas condições, viu-se impedida de satisfazer suas dívidas por razões conjunturais e por exigir o seu pagamento com juros contratuais e de mora, comissões de permanência embutidas, atualização monetária, multas, defesos em lei. Embora não conheça oficialmente o valor da dívida, está a saber que ela ascendia, que o mesmo alcançou importâncias estratoféricas. Essa absurda diferença verifica-se em razão da acumulação de encargos, oriundos de juros acima do limite constitucional de 12% ao ano, bem como de juros capitalizados indevidamente e ainda de comissão de permanência embutida. DO DIREITO "É vedada a capitalização de juros, ainda que expressamente convencionadas", numa referência ao Decreto 22.626 de 07.04.33 - art. 4º. Os juros moratórios não poderão ser superiores a 6% ao ano (CC art. 406) nem poderá ocorrer a capitalização de juros, que configura anatocismo, conforme a Súmula 121 do STF: "A capitalização de juros (juros de juros) é vedada pelo nosso direito, mesmo quando expressamente convencionada, não tendo sido revogada a regra do arti go 4º do Decreto 22.626/33 pela Lei 4.595/64." - Recurso Especial 1.285-GO STF. Que não se alegue estar a Súmula 121 superada pela Súmula 596. Afirma o Ministro Sálvio de Figueiredo que "Na verdade, embora relacionadas ambas com juros e com Decreto 22.626/33, apresentam nítida distinção, como enfatizado especialmente nos RE 85.094 e 96.875, ambos publicados na RTJ 81/918 e RTJ 108/277 respectivamente. Enquanto o enunciado 596 se refere ao artigo 1º Decreto nº 22.626/33, o verbete 121 se apoia no artigo 4º do mesmo diploma, guardando sintonia com a regra que veda o anatocismo, ou 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2026-10-26T03:27:24.002Z</dcterms:created>
  <dcterms:modified xsi:type="dcterms:W3CDTF">2026-10-26T03:27:24.002Z</dcterms:modified>
</cp:coreProperties>
</file>

<file path=docProps/custom.xml><?xml version="1.0" encoding="utf-8"?>
<Properties xmlns="http://schemas.openxmlformats.org/officeDocument/2006/custom-properties" xmlns:vt="http://schemas.openxmlformats.org/officeDocument/2006/docPropsVTypes"/>
</file>