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Apelação Cível 42.783-4.</w:t>
      </w:r>
    </w:p>
    <w:p>
      <w:r>
        <w:rPr>
          <w:b/>
          <w:bCs/>
        </w:rPr>
        <w:t xml:space="preserve">Tribunal: </w:t>
      </w:r>
      <w:r>
        <w:t xml:space="preserve">STJ</w:t>
      </w:r>
    </w:p>
    <w:p>
      <w:r>
        <w:rPr>
          <w:b/>
          <w:bCs/>
        </w:rPr>
        <w:t xml:space="preserve">Relator: </w:t>
      </w:r>
      <w:r>
        <w:t xml:space="preserve">Victor Marins</w:t>
      </w:r>
    </w:p>
    <w:p/>
    <w:p>
      <w:r>
        <w:t xml:space="preserve">EMBARGOS À EXECUÇÃO — CARÊNCIA DE AÇÃO - EXISTÊNCIA DE CONTRATO DE ADESÃO E COBRANÇA EXCESSIVA DE ENCARGOS</w:t>
      </w:r>
    </w:p>
    <w:p/>
    <w:p>
      <w:pPr>
        <w:pStyle w:val="Heading2"/>
      </w:pPr>
      <w:r>
        <w:rPr>
          <w:b/>
          <w:bCs/>
        </w:rPr>
        <w:t xml:space="preserve">Ementa</w:t>
      </w:r>
    </w:p>
    <w:p>
      <w:r>
        <w:t xml:space="preserve">EXMO. SR. DR. JUIZ DE DIREITO DA ..... VARA CÍVEL DA COMARCA DE ....., ESTADO DO ..... DISTRIBUIÇÃO POR DEPENDÊNCIA EM APENSO AOS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EMBARGOS À EXECUÇÃO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1. CARÊNCIA DA EXECUÇÃO Reza o artigo 586 do CPC: "que a execução para cobrança de crédito fundar-se-á sempre em título liquido, certo e exigível" Estabelecendo o artigo 618, inciso I, do mesmo Codex ser nula a execução "se o título executivo não for liquido, certo e exigível" É o caso dos autos. Na verdade, não se reveste da condição de titulo executivo o saldo pretendido pelo Embargado do contrato de mútuo celebrado entre as partes, porque não representa, com a necessária exatidão, promessa de pagar quantia determinada. Não constitui titulo executivo exigível o pretenso saldo devedor apurado pelo Embargado. Em assim sendo, com fulcro no artigo 267, VI do CPC e demais dispositivos aplicáve is, respeitosamente, requer-se a extinção da execução, e por via de conseqüência, a procedência dos presentes embargos, condenando-se o embargado, nas custas processuais e honorários advocatícios. 2. CARÊNCIA DE AÇÃO Com fundamento no principio da eventualidade e na remota hipótese de ser rejeitada as preliminares, melhor sorte não resta ao embargado. Afinal, em se tratando de contrato bancário, imprescindível que o banco credor, ao utilizar-se a via executiva, demonstre desde o inicio a utilização do crédito por parte do cliente, através de extratos de movimentação de conta corrente. Todavia, desta forma não procedeu o embargado, afinal, apenas anexou a inicial de execução o contrato bancário e um demonstrativo unilateralmente elaborado, mais parecendo uma incorreta conta geral antecipada, tornando-se assim, nula a execução intentada. Com efeito, a jurisprudência já manifestou a respeito, inclusive o C. Superior Tribunal de Justiça: "Débito não explicado em conta corrente do executado torna ilíquido e incerto o titulo exequendo, retratado por contrato de abertura de crédito em conta corrente, tornando o exequente carecedor da ação de execução proposta por ausência do interesse de agir." (TAPR -C. Civ. - Ac. nº 4486 - Rel. Juiz Victor Marins). "EXECUÇÃO. CONTRATO DE ABERTURA DE CRÉDITO E NOTA PROMISSÓRIA. ILIQUIDEZ. CARÊNCIA DECRETADA." Não basta ao credor na execução fundada em contrato de mútuo, assinalar, de modo unilateral, o saldo devedor. É necessário que a inicial da execução venha acompanhada do adequado demonstrativo contábil. O Embargado instruiu a execução apenas com o contrato de mútuo e aditivos e a enganosa planilha de fls. .... Frise-se que era indispensável que a mesma fosse instruída com os respectivos extratos, desde o inicio até o fim. Afinal, a falta dos requisitos necessários, ou seja, apresentação dos extratos, retira do contrato, as condições de liquidez, certeza e exigibilidade. Assevera-se que o emb argado, deveria ter apresentado os extratos de conta corrente com os calculas discriminados, ou seja, índices, taxas e encargos aplicados. Portanto, para que o Embargado prove a liquidez, certeza e exigibilidade do crédito objeto da execução, indispensável se afigura a juntada a inicial do contrato e os respectivos extratos de conta corrente, desde o inicio da operação até o seu término, não estando pois a execução devidamente instruída. Logo, vale transcrever o entendimento do Egrégio Tribunal de Alçada do Paraná, manifestado na Apelação Cível nº 42.783-4. da 5ª C. civ., com votação unânime, julgada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2026-10-26T03:40:52.931Z</dcterms:created>
  <dcterms:modified xsi:type="dcterms:W3CDTF">2026-10-26T03:40:52.931Z</dcterms:modified>
</cp:coreProperties>
</file>

<file path=docProps/custom.xml><?xml version="1.0" encoding="utf-8"?>
<Properties xmlns="http://schemas.openxmlformats.org/officeDocument/2006/custom-properties" xmlns:vt="http://schemas.openxmlformats.org/officeDocument/2006/docPropsVTypes"/>
</file>