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MEDIDA CAUT DE SEPARAÇÃO DE CORPOS</w:t>
      </w:r>
    </w:p>
    <w:p/>
    <w:p>
      <w:r>
        <w:rPr>
          <w:b/>
          <w:bCs/>
        </w:rPr>
        <w:t xml:space="preserve">Recurso: </w:t>
      </w:r>
      <w:r>
        <w:t xml:space="preserve">Recurso Especial 226436/</w:t>
      </w:r>
    </w:p>
    <w:p>
      <w:r>
        <w:rPr>
          <w:b/>
          <w:bCs/>
        </w:rPr>
        <w:t xml:space="preserve">Tribunal: </w:t>
      </w:r>
      <w:r>
        <w:t xml:space="preserve">TJMT</w:t>
      </w:r>
    </w:p>
    <w:p/>
    <w:p>
      <w:r>
        <w:t xml:space="preserve">PROCEDÊNCIA DA AÇÃO — REQUERIMENTO PARA ISENÇÃO DO PAGAMENTO DE PENSÃO ALIMENTÍCIA</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NEGATÓRIA DE PATERNIDADE em face de ....., brasileiro (a), menor, representado por sua mãe ....., brasileiro (a), (estado civil), profissional da área de ....., portador (a) do CIRG n.º ..... e do CPF n.º ....., residente e domiciliado (a) na Rua ....., n.º ....., Bairro ....., Cidade ....., Estado ....., pelos motivos de fato e de direito a seguir aduzidos. PRELIMINARMENTE INEXISTÊNCIA DE COISA JULGADA MATERIAL O processo de investigação de paternidade, como dito, foi extinto com julgamento de mérito, porque o requerente reconheceu a paternidade do requerido, sem, no entanto, que fosse produzida prova pericial (exame de DNA) que desse certeza da paternidade. A decisão homologatória da composição transitou em julgado. Contudo, o decisum não gerou coisa julgada material. O porquê: A coisa julgada é instituto constitucional que visa dar segurança e certeza às relações jurídicas, conseqüentemente, aos direitos assumidos pelos indivíduos na sociedade. Sucede, no caso, que a decisão homologatória do acordo realizado na ação de investigação de paternidade (doc. anexo), não contém certeza capaz de dar segurança às relações jurídicas, já que apenas resolveu a pretensão, não a examinou. Homologar transação, na lição de Paulo Roberto De Oliveira Lima(2), é resolver sem examinar. De fato, a coisa julgada, em casos como o dos autos, só será material se esgotados os meios probatórios disponíveis à busca da verdade real, que deve ser o norte do julgador, notadamente em se tratando de ações de estado, de caráter indisponível. O celebrado Belmiro Pedro Welter(3), constantemente citado em decisões do STJ, preleciona que: "Somente haverá coisa julgada material quando na ação de investigação de paternidade forem produzidas todas as provas permitidas em Direito, tendo em vista que, conforme leciona Helena Cunha Vieira, "se se trata de direitos indisponíveis, deverá o Juiz orientar-se no sentido de encontrar a verdade real determinando a produção das provas que entender necessárias" É do citado jurista, ainda, a observação no sentido de que: "Não faz coisa julgada material a homologação do acordo de reconhecimento da paternidade na pendência da ação. No acordo firmado em juízo, em que o investigado reconhece voluntariamente a paternidade, não terá havido decisão judicial declarando a paternidade biológica, com a produção de todas as provas, documental, testemunhal, pericial, especialmente o exame genético DNA, e o depoimento pessoa." Nesse sentido, Maria Christina de Almeida(4) aduz que: "...há a possibilidade de revisitar um julgado no qual não se tenha utilizado do critério científico na apuração da verdade para torná-lo cientificamente seguro, isto porque a sentença proferida pode, ou não, coincidir com a verdade real, dada a sua estabilidade jurídica como furto da persuasão íntima do julgador, e não uma convicção científica" Sobre o assunto, já ponderou o Ministro Sálvio de Figueiredo(5): "a matéria probatória nas ações de investigação de paternidade, em face do avanço científico representado pelo DNA, tem causado verdadeira revolução no Direito Processual e no Direito de Família. Conseqüentemente, em linha de princípio, à evidência que se deve ensejar, sempre que possível, a realização de tal exame para a busca da certeza quanto à paternidade" (RT 703/204), No caso entelado, pois, não houve coisa julgada material, porque o reconhecimento da paternidade não foi feito judicialmente e nem resultou de exame de DNA, mas de ato voluntário do autor. Jurídico, portanto, permitir-se o prosseguimento da ação visando a produção da prova competente, o conhecido e hoje acessível exame de DNA, para fornecer a certeza que tanto se espera da verdadeira paternidade. Além de jurídico, o pedido é justo, porque "se é desumano não ter o filho direito à paternidade, injusto também é a declaração de uma filiação inexistente, porque o investigado quer o pai,</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2026-09-11T00:14:48.901Z</dcterms:created>
  <dcterms:modified xsi:type="dcterms:W3CDTF">2026-09-11T00:14:48.901Z</dcterms:modified>
</cp:coreProperties>
</file>

<file path=docProps/custom.xml><?xml version="1.0" encoding="utf-8"?>
<Properties xmlns="http://schemas.openxmlformats.org/officeDocument/2006/custom-properties" xmlns:vt="http://schemas.openxmlformats.org/officeDocument/2006/docPropsVTypes"/>
</file>