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PETIÇÃO (MOD) FAMÍLIA</w:t>
      </w:r>
    </w:p>
    <w:p>
      <w:r>
        <w:rPr>
          <w:i/>
          <w:iCs/>
          <w:color w:val="666666"/>
        </w:rPr>
        <w:t xml:space="preserve">MEDIDA CAUT DE SEPARAÇÃO DE CORPOS</w:t>
      </w:r>
    </w:p>
    <w:p/>
    <w:p>
      <w:r>
        <w:rPr>
          <w:b/>
          <w:bCs/>
        </w:rPr>
        <w:t xml:space="preserve">Recurso: </w:t>
      </w:r>
      <w:r>
        <w:t xml:space="preserve">Ap. 32.044</w:t>
      </w:r>
    </w:p>
    <w:p>
      <w:r>
        <w:rPr>
          <w:b/>
          <w:bCs/>
        </w:rPr>
        <w:t xml:space="preserve">Relator: </w:t>
      </w:r>
      <w:r>
        <w:t xml:space="preserve">Xavier Vieira</w:t>
      </w:r>
    </w:p>
    <w:p/>
    <w:p>
      <w:r>
        <w:t xml:space="preserve">FILHO MENOR — DIREITO DE VISITAÇÃO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VARA DE FAMÍLIA DA COMARCA DE ....... ....., brasileiro (a), (estado civil), profissional da área de ....., portador (a) do CIRG n.º ..... e do CPF n.º ....., residente e domiciliado (a) na Rua ....., n.º ....., Bairro ....., Cidade ....., Estado ....., por intermédio de seu (sua) advogado(a) e bastante procurador(a) (procuração em anexo - doc. 01), com escritório profissional sito à Rua ....., nº ....., Bairro ....., Cidade ....., Estado ....., onde recebe notificações e intimações, vem mui respeitosamente à presença de Vossa Excelência propor: MEDIDA CAUTELAR DE VISITAÇÃO em face de ....., brasileiro (a), (estado civil), profissional da área de ....., portador (a) do CIRG n.º ..... e do CPF n.º ....., residente e domiciliado (a) na Rua ....., n.º ....., Bairro ....., Cidade ....., Estado ....., pelos motivos de fato e de direito a seguir aduzidos. DOS FATOS Em .. de .... de ...., o Juízo da .. Vara de Família desta comarca, estipulou uma pensão alimentícia, para a menor ........................, filha do ora autor com a ré, na base de 25% de seus vencimentos, conforme documento anexo. Entretanto, nesta referida ação, não foi deslumbrado o direito de visita do autor, visto que, este direito, ocorria normalmente, sem nenhum impedimento. Ocorre que ultimamente, a ré, vem afastando a menor do convívio com o pai, ou seja, o requerente vem sendo sistematicamente impedido de visitar sua filha. DO DIREITO Ressalte-se, por relevante, que o distanciamento imposto poderá acarretar graves danos psicológicos a própria menor. Vale destacar o entendimento já firmado por nossos Tribunais, mutatis mutantis, aplicável à espécie: "O direito de visita, segundo a melhor exegese do art. 15 da Lei do Divórcio, visa a preservação do afeto resultante do vínculo da paternidade. Da parte do pai, ou da mãe, em cuja guarda não estejam os filhos, tem o sentido maior de dever. Dentre as necessidades fundam entais do ser humano, no alvorecer de sua existência, avultam a necessidade de amor e de segurança afetiva. Equivocam-se, desafortunadamente, os pais, quando colocam em primeiro plano o seu direito, antepondo-o ao dos filhos, eis que são estes os detentores dessa primazia. Ao regulamentar as visitas o juiz deve estar atento aos superiores interesses das crianças pertencentes a famílias monoparentais. Em casos excepcionais, e só nesses, as visitas podem ser suspensas, quando comprovadamente nocivas à saúde física e mental dos visitados. Afora isso, qualquer frustação do intercâmbio afetivo é prejudicial ao educante." (Ac. Unânime da 2ª Câm. Do TJSC, na Ap. nº 32.044, julgada em 19.12.89 - Relator: Des. Xavier Vieira; JC, vol. 65,p.152.) DOS PEDIDOS Assim sendo, demonstrados os requisitos pertinentes a tutela cautelar do fumus boni iuris e o periculum in mora, requer a V.Exa. seja concedida a medida cautelar, para o fim de que possa o Requerente exercer o direito de visitação, na seguinte forma: · Nos fins de semana alternados, irá retirar a menor no sábado às ....h. com a devolução às .....h. do domingo; · No dia dos pais e no dia das mães, a menor ficará sob a responsabilidade do pai ou a mãe quando for seu respectivo dia; · No Natal e no Ano Novo alternadamente, a menor ficará sob a responsabilidade da mãe no Natal, e no Ano Novo do pai; · Nas férias, a menor alternará, onde as primeiras férias de janeiro/fevereiro de ......, ficará com a responsabilidade do pai e as férias de ....../...... com a mãe, sendo certo que, no próximo ano, de ......., existirá uma troca, ou seja, a mãe ficará com a posse da menor nas férias de janeiro/fevereiro e o pai com julho/agosto, e assim por diante; · No aniversário da menor, de .....h até às ......., ficará com o pai e depois com a mãe, sendo certo que, no próximo aniversário isto se inverterá. Requer, ainda, seja a medida concedida LIMINARMENTE e inaudita altera pars, conforme o preceituado no artigo 804, do diploma processual civil, com a posterior citação da Requerida, para, querendo, responder o presente pedido, que deverá ao final ser julgado procedente para determinar a visitação do Requerente à menor ................ Nestas circunstâncias, indica prova testemunhal e depoimento pessoal da Requerida, sob pena de confissão. Indica para fins do artigo 39, I do CPC o seguinte endereço: Av. .........., nº ......., sala ........, ...... Dá-se a causa o valor de R$ ......... Nesses Termos, Pede Deferimento. Local e data Advogado OAB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2026-09-11T00:13:59.595Z</dcterms:created>
  <dcterms:modified xsi:type="dcterms:W3CDTF">2026-09-11T00:13:59.595Z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