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43.055-0-</w:t>
      </w:r>
    </w:p>
    <w:p/>
    <w:p>
      <w:r>
        <w:t xml:space="preserve">JANEIRO DE 1989 — ADOÇÃO DO IPC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... homologou a conta de liquidação que adotara o percentual de 70,28, para a atualização do valor da condenação referentemente ao mês de janeiro de 1989. - O v.acórdão confirmou a decisão do Juiz singular, e o fez considerando o seguinte: "A questão ora em discussão já tem sido objeto de debate nesta Corte, que mantém o entendimento do cabimento da aplicação do índice real de inflação. - Como é público e notório, a inflação registrada em janeiro de 1989 atingiu patamares superiores aos admitidos pela legislação específica. Os índices do Governo sobre o nível da inflação expungiram dos cálculos o percentual de 70,28%" (...). - Manifesta o recorrente recurso especial com fulcro no art.105, III, "a" e "c", da Constituição Federal, alegando violação do art. 15 da Lei 7.730/89, além de dissídio jurisprudêncial (...). VOTO "Violou os expressos termos do art. 15, inciso II, da Lei 7.730/89, ao incluir o fantástico percentual de 70,28% referente à inflação do mês de janeiro de 1989" (...). - Todavia, sob a óptica de ofensa ao direito federal ordinário é inaceitável o recurso. Com efeito, o dispositivo referido não sofreu a violência alegada, como em caso símile, considerou o Ministro SÁLVIO DE FIGUEIREDO ao proferir voto equivalente perante a Corte Especial desta Corte; quando do julgamento do REsp 43.055-0-SP: "Inocorreu, portando, a alegada vulneração dos arts. 2º, LICC, e 15 da Lei 7.730/89, afigurando-se incensurável o acórdão recorrido ao determinar a inclusão do IPC do período como fator de atualização, até porque referido índice é que servia, àquela época, para cálculo da variação das OTNs e, depois, dos BTNs." - Sob o prisma da divergência jurisprudencial, também não acolho o recurso. Foi trazido como acórdão padrão um da Coleta Primeira Turma, tomado no Recurso Especial nº 7.123, do qual foi relator o Sr. Ministro GARCIA VIEIRA. Pretendeu o recorrente demonstrar divergência simplesmente através de ementa, o que não é possível; e ainda que fosse, não haveria divergência, porque tal aresto da Primeira Turma, pelo que está contido em sua ementa, não provoca confronto com o acórdão recorrido. Apenas afirma que estaria violado o art. 15 da Lei nº 7.730, exatamente aquele que não foi alcançado pela decisão recorrida. - Em face do exposto, não conheço do presente recurso. Ac. de 13-09-1994 Revista do Superior Tribunal de Justiça - Nº 74 - Outubro 1995 - Ano 7 - Pág. 256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determina a adoção do IPC de janeiro de 1989 como fator corretório da moeda não viola o art. 15 da Lei 7.730/89.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2026-07-28T00:12:11.930Z</dcterms:created>
  <dcterms:modified xsi:type="dcterms:W3CDTF">2026-07-28T00:12:11.930Z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