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r>
        <w:rPr>
          <w:b/>
          <w:bCs/>
        </w:rPr>
        <w:t xml:space="preserve">Recurso: </w:t>
      </w:r>
      <w:r>
        <w:t xml:space="preserve">apelação -</w:t>
      </w:r>
    </w:p>
    <w:p>
      <w:r>
        <w:rPr>
          <w:b/>
          <w:bCs/>
        </w:rPr>
        <w:t xml:space="preserve">Tribunal: </w:t>
      </w:r>
      <w:r>
        <w:t xml:space="preserve">STJ</w:t>
      </w:r>
    </w:p>
    <w:p/>
    <w:p>
      <w:r>
        <w:t xml:space="preserve">CONTESTAÇÃO À AÇÃO DE INVESTIGAÇÃO DE PATERNIDADE C/C ALIMENTOS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à Ação de Investigação de Paternidade c.c. Alimentos que lhe move................, representado por sua mãe, a sra. .................,pelos motivos de fato e de direito a seguir aduzidos. DOS FATOS Pretende o requerente - via Ação de Investigação de Paternidade c.c. Alimentos, o reconhecimento de sua paternidade em relação ao requerido, bem como a condenação deste no pagamento de alimentos na importância correspondente a 30% (trinta por cento) do salário mínimo. Alega o requerente que sua mãe, a sra. .................... manteve um relacionamento amoroso com o requerido até poucos meses antes de seu nascimento, provindo daí sua concepção. Alega ainda, quanto aos alimentos, que o pretenso pai possui um "bar" em .............podendo assim contribuir consideravelmente para o sustento do menor. Fundamenta as pretensões no art. 1694 do novo Código Civil. Concessa venia, mas a pretensão proposta nos termos da inicial não merece ser acolhida, sob pena de se impor ao requerido a filiação e prestação de alimentos a uma pessoa que na verdade não é seu filho, simplesmente porque os argumentos narrados na exordial não espelham a verdade dos fatos e a par da total insuficiência de provas, não poderão culminar senão pela total improcedência dos pedidos. Senão vejamos: Consta da inicial que a mãe do requerente e o requerido mantiveram um relacionamento amoroso vivendo inclusive como se concubinos fossem, inferindo da narrativa a existência de relações sexuais (plural), resultante da concepção e nascimento do autor. O requerido não manteve um relacionamento amoroso com a mãe do requerido no período constante da inicial, muito menos conviveu com ela sob a forma de concubinado. Na verdade, relacionou-se com ela apenas e tão somente uma única vez. Malgrado existir a relação sexual (única), o requerido tem fundadas dúvidas quanto a alegada paternidade. Isso ocorre, porque é de seu conhecimento que a mãe do requerente mantinha um relacionamento amoroso com o sr. ............., relacionamento que subsiste até os dias atuas, inclusive sob a forma de união estável e convivência sob o mesmo teto. Nesses termos não há como atribuir-se ao requerido a paternidade, a uma porque não existem provas suficientes para tal conclusão, a duas porque há fundadas dúvida que a paternidade venha a pertencer, em realidade, ao sr. ..........., atual companheiro da mãe do requerente, consoante exposto. Esclarece o eminente civilista Silvio Rodrigues que ... se o réu prova que, à época da concepção, a mãe do autor manteve relações com outros homens, além dele, excipiente, cumpre ao juiz julgar improcedente o pedido, pois a convicção do julgador deve ser indubitável, ao proclamar o parentesco entre os litigantes. (Dir. Civil, Dir. de Fam., pág. 334, edit. Saraiva, 17ª edição, São Paulo, 1991). Improcede assim o pedido de paternidade. Nada obstante, pelo princípio da eventualidade e sob o prisma da inicial, sem contudo reconhecer seu conteúdo, cabe analisar a questão referente aos alimentos pleiteados na inicial, consignando-se na oportunidade o seu não cabimento, senão vejamos. Aduz o requerente que o requerido é proprietário de um "bar" na cidade de ........, auferindo daí bons rendimentos. Pede a condenação dele requerido, no pagamento da importância de 30% (trinta por cento) a título de alimentos. DO DIREITO Com efeito, nos termos do art. 1694 do novo Código Civil, os alimentos devem ser prestados sob o binômio necessidade do requerente e possibilidade do requerido. Concernente ao segundo requisito, é preciso levar ao conhecimento do Juízo, que o requerido, conforme comprovantes inclusos, está em situação de penúria, porque desempregado, não recebe sequer um salário mínimo mensal. Colocada em termos a impossibilidade do requerido em prestar alimentos nos termos da inicial, cumpre asseverar que é ônus do requerente ao deduzir a pretensão,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2026-10-26T03:43:19.589Z</dcterms:created>
  <dcterms:modified xsi:type="dcterms:W3CDTF">2026-10-26T03:43:19.589Z</dcterms:modified>
</cp:coreProperties>
</file>

<file path=docProps/custom.xml><?xml version="1.0" encoding="utf-8"?>
<Properties xmlns="http://schemas.openxmlformats.org/officeDocument/2006/custom-properties" xmlns:vt="http://schemas.openxmlformats.org/officeDocument/2006/docPropsVTypes"/>
</file>