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PETIÇÃO (MOD) FAMÍLIA</w:t>
      </w:r>
    </w:p>
    <w:p>
      <w:r>
        <w:rPr>
          <w:i/>
          <w:iCs/>
          <w:color w:val="666666"/>
        </w:rPr>
        <w:t xml:space="preserve">SEPARAÇÃO LITIGIOSA C/C ALIMENTOS</w:t>
      </w:r>
    </w:p>
    <w:p/>
    <w:p>
      <w:r>
        <w:rPr>
          <w:b/>
          <w:bCs/>
        </w:rPr>
        <w:t xml:space="preserve">Recurso: </w:t>
      </w:r>
      <w:r>
        <w:t xml:space="preserve">APELACAO .</w:t>
      </w:r>
    </w:p>
    <w:p>
      <w:r>
        <w:rPr>
          <w:b/>
          <w:bCs/>
        </w:rPr>
        <w:t xml:space="preserve">Julgado em: </w:t>
      </w:r>
      <w:r>
        <w:t xml:space="preserve">21/11/2001</w:t>
      </w:r>
    </w:p>
    <w:p/>
    <w:p>
      <w:r>
        <w:t xml:space="preserve">INEXISTÊNCIA DE UNIÃO ESTÁVEL — ALEGAÇÃO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EXMO. SR. DR. JUIZ DE DIREITO DA ..... VARA CÍVEL DA COMARCA DE ....., ESTADO DO ..... ....., brasileiro (a), (estado civil), profissional da área de ....., portador (a) do CIRG n.º ..... e do CPF n.º ....., residente e domiciliado (a) na Rua ....., n.º ....., Bairro ....., Cidade ....., Estado ....., por intermédio de seu (sua) advogado(a) e bastante procurador(a) (procuração em anexo - doc. 01), com escritório profissional sito à Rua ....., nº ....., Bairro ....., Cidade ....., Estado ....., onde recebe notificações e intimações, vem mui respeitosamente à presença de Vossa Excelência propor: AÇÃO CAUTELAR INOMINADA INCIDENTAL em face de ....., brasileiro (a), (estado civil), profissional da área de ....., portador (a) do CIRG n.º ..... e do CPF n.º ....., residente e domiciliado (a) na Rua ....., n.º ....., Bairro ....., Cidade ....., Estado ....., pelos motivos de fato e de direito a seguir aduzidos. PRELIMINARMENTE O autor requer lhe seja concedido o benefício da assistência judiciária gratuita, posto que não tem condições de arcar com as eventuais custas e despesas processuais, sob pena de sacrificar o próprio sustento - LEI 1060/50. DO MÉRITO DOS FATOS O autor reside com a ré no mesmo endereço há 4 anos 6 meses, embora somente nos primeiros meses vivenciaram uma união estável, de modo que a mais de 4 anos não estão juntos visando a constituição de família, em virtude da ré negligenciar suas obrigações de mulher e dona de casa, posto que nunca nutriu qualquer sentimento amoroso para com o autor. Ao longo destes anos, a ré muitas vezes se ausentava por vários dias de casa, ficando na casa da irmã, ou saía pela manhã e só retornava tarde da noite, como demonstram alguns dos bilhetes em anexo. Em três oportunidades, inclusive, chegou a passar meses fora de casa, viajando para ........., ........... e ............., sem o conhecimento prévio do autor. Na verdade, a ré é praticamente uma hóspede do autor, nã o tendo qualquer vínculo amoroso com este, inventando sempre desculpas para não ficar em casa. O autor, sempre na esperança de que a ré mudasse o seu comportamento, pacientemente aturou esta situação até este dado momento, quando foi surpreendido com a ação de reconhecimento e dissolução de sociedade de fato e prestação de alimentos de nº...., que tramita perante este r. juízo. Assim sendo, desde o primeiro momento, não houve intenção da ré em manter uma União Estável com a finalidade de constituição de uma entidade familiar, posto que não esboçou qualquer esforço neste sentido. Diante desta situação e mormente pelo ingresso da ação acima referida, as partes vivenciam constantes atritos, principalmente de ordem moral e partidos da ré, que sequer mantém diálogo com o autor, muitas das vezes se correspondendo por "bilhetinhos". E quando dirige palavras ao autor, é sempre com tom pejorativo, ou de deboche, e até agressivo, situação que tende a se agravar com o andamento da lide principal. Além disso, como demonstram os exames em anexo, o autor sofre de enxaqueca crônica e possui um insuficiência renal, o que necessita de muitos cuidados médicos e dispendiosos medicamentos, além de ter recebido recomendações médicas para não se "incomodar" ou passar por situações "estressantes". Ora, a situação presente, embora cômoda para a ré, não é para o autor, posto que além de pagar todas as despesas da casa, inclusive sendo o locatário do imóvel, sente-se enganado, fazendo papel de bobo em relação ao comportamento da ré, além de estar física e psicologicamente debilitado. De qualquer forma, a ré não fica privada de habitação, alimentação e moradia, tendo as outras necessidades supridas pela irmã, moradora na rua ..........., como reportam os bilhetes já mencionados. E, como se pode verificar na exordial proposta pela ré, a mesma não apontou qualquer empecilho (físico ou profissional) que a impeçam de prover seu próprio sustento. Além disso, o cas al, justamente pelo tipo de relação vivida, não teve filhos, o afastamento da ré não causará qualquer dano a terceiros. Portanto, não sobra qualquer motivo ou possibilidade das partes permanecerem sob o mesmo teto. DO DIREITO É certo que a Constituição Federal, por força do art. 226, § 3º, garante a União Estável diversas garantias, dentre elas o reconhecimento como entidade familiar. A Lei 9.278/96, em seu artigo 1º, preceitua: "Art. 1º. É reconhecida como entidade familiar a convivência duradoura pública e contínua, de um homem e uma mulher, estabelecida com o objetivo de constituiç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2026-06-17T16:44:48.024Z</dcterms:created>
  <dcterms:modified xsi:type="dcterms:W3CDTF">2026-06-17T16:44:48.024Z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