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p>
      <w:r>
        <w:t xml:space="preserve">AÇÃO DE INVESTIGAÇÃO DE PATERNIDADE C/C PENSÃO ALIMENTÍCIA</w:t>
      </w:r>
    </w:p>
    <w:p/>
    <w:p>
      <w:pPr>
        <w:pStyle w:val="Heading2"/>
      </w:pPr>
      <w:r>
        <w:rPr>
          <w:b/>
          <w:bCs/>
        </w:rPr>
        <w:t xml:space="preserve">Ementa</w:t>
      </w:r>
    </w:p>
    <w:p>
      <w:r>
        <w:t xml:space="preserve">EXCELENTÍSSIMO SENHOR DOUTOR JUIZ DE DIREITO DA ...........VARA DE FAMÍLIA DA COMARCA DE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CONTESTAÇÃO à AÇÃO DE INVESTIGAÇÃO DE PATERNIDADE CUMULADA COM ALIMENTOS, movida por ............, menor impúbere, representado por sua genitora ..........., pelos motivos de fato e de direito a seguir aduzidos. DOS FATOS Não nega o contestante ter mantido relação sexual com a mãe da menor. Todavia, jamais viveu em UNIÃO ESTÁVEL com a Contestada nem tampouco manteve relacionamento sexual de forma corriqueira entre o período de meados de 1998 e meados de 2000. De fato, e de forma fortuita e esporádica, o Contestante manteve relações sexuais com a Contestada e às escondidas. Porém, tais relações ocorreram no ano de 1999 até o início de fev/2000. Após este mês, aquele não mais manteve qualquer relacionamento íntimo com esta. A inicial peca gravemente ao afirmar que o Contestante "viveu em UNIÃO ESTÁVEL" com a mãe da menor. Quanto à questão alimentícia, a Contestada afirma que o Contestante é homem de 'notórias posses' , com 'ótimo padrão de vida' , que é negociante de carros, proprietário de duas oficinas, que tem um casa alugada na praça ... e que é cabeleireiro, atividades econômicas estas que lhe renderiam mensalmente R$ 3.000,00 (três mil reais). É um absurdo como se pode mentir em juízo cível para se locupletar ilicitamente! Das atividades econômicas alegadas, o Contestante, de fato, é cabeleireiro e, esporadicament e, trabalha como corretor de automóveis, efetuando a compra ou venda de veículos de terceiros, mediante paga de comissão, que geralmente gira em torno de 2% (dois porcento) do valor do bem. Entrementes, o Contestante não possui oficina de carros nos endereços supracitados, nem tampouco casa alugada. As oficinas mencionadas, uma situada à rua ..., em frente ao ... e a outra vizinha à residência da Sra. ..., pertencem, respectivamente, a ... e ... . Registre-se ainda que a oficina do Sr. ... não mais encontra-se instalada no endereço supracitado. A alegada casa alugada, localizada à praça ... pertence ao genitor da esposa do Contestante, o Sr. ..., o qual a adquiriu por compra do Sr. ... . Os alugueres, como não poderia ser diferente, são percebidos pelo genitor de sua esposa (Escritura anexa, como firma reconhecida em 13/mai/1996). Da corretagem esporádica de automóveis e do salão de beleza, o Contestante percebe em média mensalmente cerca de R$ 400,00 (quatrocentos reais). Registre-se que com ele, no salão de beleza, em sociedade, trabalha a sua esposa, também cabeleireira, a qual é quem, de fato, administra a maior parte do tempo o salão. Assim, a afirmação de que o Contestante ganha mensalmente algo em torno de R$ 3.000,00 (três mil reais) não passa de uma hipérbole, falsa especulação no intuito de estratosferar uma possível pensão de alimentos a posteriori, caso a Contestada chegasse a lograr êxito nesta cruzada judicial. Com muito esforço e anos de trabalho, juntamente com sua esposa, ainda com o complemento oriundo de herança do Contestante, este e sua mulher adquiriram uma Casa residencial, localizada à praça ..., onde funciona o salão de beleza do casal. Em 1999, venderam a referida casa à Sra. ... (Escritura em anexo, com firma reconhecida em 20/06/1999), e compraram um terreno, localizado à rua ..., onde construíram a sua atual residência (Escritura Pública em anexo). Para a construção desta casa, foi necessário o casal vender o au tomóvel que possuía ao atual prefeito, o qual é hoje um carro de som; vender o maquinário de um fabriqueta de confecções, que era de propriedade da esposa do Contestante, e empregar, ainda, valores oriundos de herança deste, adquirida pela morte de sua genitora. É tão fantasiosa a informação contida na inicial acerca dos vencimentos do Contestante que este, a mais de ano, não possui carro próprio, o que não se concebe, partindo de quem venha a ganhar tanto, para os padrões regionais. III - Dos Alimentos Fica desde logo contestado o pedido de alimentos. A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2026-06-17T14:16:32.199Z</dcterms:created>
  <dcterms:modified xsi:type="dcterms:W3CDTF">2026-06-17T14:16:32.199Z</dcterms:modified>
</cp:coreProperties>
</file>

<file path=docProps/custom.xml><?xml version="1.0" encoding="utf-8"?>
<Properties xmlns="http://schemas.openxmlformats.org/officeDocument/2006/custom-properties" xmlns:vt="http://schemas.openxmlformats.org/officeDocument/2006/docPropsVTypes"/>
</file>