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r>
        <w:rPr>
          <w:b/>
          <w:bCs/>
        </w:rPr>
        <w:t xml:space="preserve">Recurso: </w:t>
      </w:r>
      <w:r>
        <w:t xml:space="preserve">Ap. Cível 1.996/89</w:t>
      </w:r>
    </w:p>
    <w:p/>
    <w:p>
      <w:r>
        <w:t xml:space="preserve">MODIFICAÇÃO DE CLÁUSULA — ACORDO FIRMADO QUANDO DA SEPARAÇÃO JUDICIAL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MODIFICAÇÃO DE CLÁUSULA ALIMENTAR DE SEPARAÇÃO CONSENSUAL, COM PEDIDO DE LIMINAR INAUDITA ALTERA PARTE em face de ... e sua filha ..., esta assistida por sua genitora, ambas brasileiras, a primeira separada judicialmente, comerciária, a segunda solteira, estudante, residentes e domiciliadas nesta Cidade, na Rua ..., pelos motivos de fato e de direito a seguir aduzidos. DOS FATOS Por acordo havido entre o Senhor ... e a Senhora ..., nos autos do processo-matriz, ficou pactuado que o primeiro concorreria com a pensão equivalente a 35% dos seus vencimentos líquidos, sendo 15% para sua ex-consorte e 10% para cada filha, além de indicar e custear as despesas com escola, médico, dentista e vestuários para as filhas. Em seqüência, através de avença homologada nos autos da ação acessória de Modificação de Cláusula - intentada pelo ora suplicante no ano de 1.981 - foi estabelecida a redução do crédito alimentício total, para o equivalente a 30% dos ganhos líquidos do autor, sendo 10% para a requerida e o mesmo percentual para cada filha C. e P. Aos ... dias do mês de ... do ano de 1993, C., filha mais velha do casal, contraiu núpcias, ficando, portanto, finda a obrigação do suplicante de tal pensionamento. Destarte, na ocasião presente, o autor contribui mensalmente, através de desconto em folha, para mantença de sua ex-consorte e filha solteira, com o percentual equivalente a 20% de seus ganhos líquidos, dividido equitativamente entre as alimentárias, além de arcar com a TOTALIDADE das despesas de educação, assistência médica e assistência odontológica, relativamente à segunda alimentária. DO DIREITO A cláusula que o autor deseja ver modificada em sua separação é a de números "3", a qual tem a seguinte redação: "As filhas do casal, C. e P., ficarão sob a posse e guarda do cônjuge mulher, obrigando-se os cônjuges, conjuntamente, pela educação e mantença das filhas, CABENDO AO CÔNJUGE VARÃO INDICAR E PAGAR AS MENSALIDADES ESCOLARES e toda a assistência médica, hospitalar e odontológica que as mesmas necessitarem, prestada pela empresa empregadora, que possui para os funcionários e seus dependentes, convênio com médicos e hospitais especializados." (Grifo nosso). Pela cláusula em apreço ficou convencionado, como de todo podemos subentender, que o Senhor ... deve arcar com todo o ônus escolar de sua filha P., inclusive a nível de 3° grau, além de ter que honrar, outrossim, a pensão acordada em prol de sua ex-consorte e filha, na ordem de 20% dos seus vencimentos líquidos. Sucede, Exa., que P. logrou brilhantemente, aprovação nos exames vestibulares das Faculdades ............, as quais figuram dentre as melhores e mais dispendiosas Instituições de Ensino Superior de nosso País e o autor, infelizmente, não tem condições financeiras de assumir este pesado encargo. Porquanto, tendo se separado, constituiu nova família e com esse conúbio, que merece a proteção do Estado, face à legislação Pátria, o suplicante, que vive exclusivamente dos proventos de aposentado, ganhando o líquido de R$ ..........., acrescentou suas responsabilidades materiais, tendo a obrigação de prestar assistência econômica à sua companheira e FILHA MENOR - C., atualmente com 12 anos de idade (vide cópia reprográfica autenticada da Certidão anexa). Assim, a presente ação tem por obje to, colimando assegurar uma mais adequada composição do binômio necessidades e possibilidades das partes, a desobrigação do alimentante no que pertine ao adimplemento do ônus concernente à educação de nível superior, a que se obrigou por força da cláusula verberada, mantidas as demais obrigações. Isto, Exa., levando em conta realista e pragmaticamente, o surgimento de mais uma filha a ser sustentada pelo autor. Ora, por que esperar que a nova filha reclame alimentos judicialmente, para só então redividir a capacidade pensionante do autor ? Nesse ponto, importante repisar,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2026-10-26T03:42:19.062Z</dcterms:created>
  <dcterms:modified xsi:type="dcterms:W3CDTF">2026-10-26T03:42:19.062Z</dcterms:modified>
</cp:coreProperties>
</file>

<file path=docProps/custom.xml><?xml version="1.0" encoding="utf-8"?>
<Properties xmlns="http://schemas.openxmlformats.org/officeDocument/2006/custom-properties" xmlns:vt="http://schemas.openxmlformats.org/officeDocument/2006/docPropsVTypes"/>
</file>