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CONVERSÃO DE SEPARAÇÃO JUDICIAL</w:t>
      </w:r>
    </w:p>
    <w:p/>
    <w:p/>
    <w:p>
      <w:r>
        <w:t xml:space="preserve">PEDIDO CAUTELAR DE SEPARAÇÃO DE CORPOS</w:t>
      </w:r>
    </w:p>
    <w:p/>
    <w:p>
      <w:pPr>
        <w:pStyle w:val="Heading2"/>
      </w:pPr>
      <w:r>
        <w:rPr>
          <w:b/>
          <w:bCs/>
        </w:rPr>
        <w:t xml:space="preserve">Ementa</w:t>
      </w:r>
    </w:p>
    <w:p>
      <w:r>
        <w:t xml:space="preserve">EXMO. SR. DR. JUIZ DE DIREITO DA ..... VARA DE FAMÍLIA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MEDIDA CAUTELAR DE SEPARAÇÃO DE CORPOS em face de ....., brasileiro (a), (estado civil), profissional da área de ....., portador (a) do CIRG n.º ..... e do CPF n.º ....., residente e domiciliado (a) na Rua ....., n.º ....., Bairro ....., Cidade ....., Estado ....., pelos motivos de fato e de direito a seguir aduzidos. DOS FATOS 1. A Autora é casada desde ..... de ...... de ......., pelo regime de comunhão universal de bens com o Requerido. (doc. ....) 2. Desta união nasceram três filhos: ......., em ..... de ....... de ....... (doc. n.º ....); ......, em ...... de ...... de ....... (doc. n.º .....); e, ......, em ...... de ....... de ....... (doc. ...). 3. No princípio a convivência do casal foi harmoniosa, mas com o passar do tempo a relação se deteriorou. Tendo em vista, portanto, os constantes desentendimentos que vinham permeando a vida conjugal, esta tornou-se insustentável, culminando, no mês de ......... do corrente ano, com o abandonou o lar pelo Requerido sem que, até o presente momento, o mesmo tivesse retornado. 4. Ao descumprir dever básico do casamento, expressamente previsto no inciso II, do artigo 1566 do Novo Código Civil, o Requerido deu ensejo a que a Autora pleiteasse a dissolução da sociedade conjugal (Lei n.º 6.515/77 - art. 5º, caput), não sem antes promover a presente medida cautelar, com o desiderato de se precaver de situações constrangedoras que a propositura da ação de separação litigiosa poderá causar entre o casal (Cód. Civil - art. 1562 e Lei n.º 6.515/77 - art. 7º, § 1º). 5. O cabimento do pedido ora formulado, encontra amparo no fundado receio da Autora sofrer danos de difícil e incerta reparação, caso seu esposo possa, a qualquer momento, adentrar na morada conjugal durante o trâmite da ação principal, embaraçando-a perante os filhos através de comportamento que, nestas situações, assume as mais variadas formas. Face a esta situação, roga seja concedido o alvará de separação de corpos, até que, em regular processso, sejam regulados a) a partilha; b) a pensão; c) a guarda dos filhos; e, d) o direito de visitas. DO DIREITO Este pleito vem amparado na lei e na jurisprudência. Senão vejamos: Conforme se extrai do artigo 798 do Código de Processo Civil: "Além dos procedimentos cautelares específicos, que este Código regula no Capítulo II deste Livro, poderá o juiz determinar as medidas provisórias que julgar adequadas, quando houver fundado receio de que uma parte, antes do julgamento da lide, cause ao direito da outra lesão grave e de difícil reparação". Este artigo consagra o poder cautelar geral do juiz, qualificado na doutrina como inominado ou atípico, porque se situa além das cautelas específicas contempladas no Código de Processo. Entre as providências específicas, ou nominadas, encontra-se "o afastamento temporário de um dos cônjuges da morada do casal", prevista no artigo 888, inciso VI, do Código de Processo Civil. Todavia, a medida prevista neste dipositivo é de natureza diversa da contemplada no artigo 223 do Código Civil. Conforme ÁLVARO DE OLIVEIRA e GALENO LACERDA "as duas providências são inconfundíveis. Há a separação de eficácia apenas jurídica, de que trata o artigo 223 do Código Civil, e a separação fáctica, envolvendo o 'afastamento temporário de um dos cônjuges da morada do casal', nos termos do art. 8 88, VI. Medidas distintas, com diferentes pressupostos e alcance jurídico diverso[...]". (OLIVEIRA, Carlos A. A. de e LACERDA, Galeno. Comentários ao Código de Processo Civil. 2ª ed., Vol. VIII, Tomo II, Forense, Rio de Janeiro, 1991, p. 373). A opção por uma ou outra medida deve ser adotada pelo Requerente da medida cautelar, conforme a situação fática. No caso em tela, efetivamente, a cautelar inominada é a via adequada para tutelar o direito da Autora. O poder cautelar geral, na lição de GALENO LACERDA, reconhecida autoridade no assunto, "confia à consciência, à ponderação,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2026-06-17T14:21:57.436Z</dcterms:created>
  <dcterms:modified xsi:type="dcterms:W3CDTF">2026-06-17T14:21:57.436Z</dcterms:modified>
</cp:coreProperties>
</file>

<file path=docProps/custom.xml><?xml version="1.0" encoding="utf-8"?>
<Properties xmlns="http://schemas.openxmlformats.org/officeDocument/2006/custom-properties" xmlns:vt="http://schemas.openxmlformats.org/officeDocument/2006/docPropsVTypes"/>
</file>