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IMOBILIÁRIO</w:t>
      </w:r>
    </w:p>
    <w:p>
      <w:r>
        <w:rPr>
          <w:i/>
          <w:iCs/>
          <w:color w:val="666666"/>
        </w:rPr>
        <w:t xml:space="preserve">DESPEJO POR FALTA DE PAGAMENTO</w:t>
      </w:r>
    </w:p>
    <w:p/>
    <w:p>
      <w:r>
        <w:rPr>
          <w:b/>
          <w:bCs/>
        </w:rPr>
        <w:t xml:space="preserve">Recurso: </w:t>
      </w:r>
      <w:r>
        <w:t xml:space="preserve">re 30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PLANO VERÃO — JANEIRO DE 1989 - ÍNDICE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1. Não se desconhece que houve efetivo período inflacionário que restou desconsiderado quando da alteração do indexador oficial, de OTN para BTN, circunstância que inclusive veio a ser reconhecida em diplomas legais posteriormente editados, como, v.g., Leis nos 7.799/89 e 7.989/89. - Assim, tendo havido desvalorização da moeda não computada na variação dos preços dos títulos da dívida pública (OTN e BTN), impunha-se, com efeito, a adoção de critério que permitisse a apuração da correção monetária de referido período para incluí-la nos casos em que prevista ou exigível atualização com base nos chamados índices oficiais. - A correção monetária, consoante assente neste Tribunal, não é acréscimo, constituindo imperativos econômico, ético e jurídico, destinada a manter o equilíbrio das relações e evitar o enriquecimento sem causa, razão por que sua incidência independe de lei específica autorizativa. - Inocorreu, portanto, a alegada vulneração dos arts. 2º, LICC e 15 da Lei nº 7.730/89, afigurando-se incensurável o acórdão recorrido ao determinar a inclusão do IPC do período como fator de atualização, até porque referido índice é que servia, àquela época, para cálculo da variação das OTNs e, depois, das BTNs. 2. Quanto ao mais, reputo assistir razão à recorrente, seja por divisar contrariado o art. 9º, I, da Lei nº 7.730/89 e, em certa medida, também o art. 964, CC, seja porque devidamente demonstrada a invocada divergência jurisprudencial com o aresto colacionado ..., em que adotada tese no sentido de que o percentual de 70,28% não pode servir de fator de correção monetária a ser utilizado na fase de liquidação, isso em face de que, "em primeiro lugar, não ... refletiu a inflação ocorrida no período de um mês ... e, em segundo, ... houve superposição de períodos, já que a variação de preços ocorrida no período compreendido entre 30 de novembro a 15 de dezembro de 1988 já fora considerada para cálculo do IPC de dezembro, cuja incidência sobre a OTN de dezembro determinou a fixação da OTN de janeiro que, congelada e expressa no novo padrão monetário, era de NCz$ 6,17". - Com efeito, impõe-se reconhecer excessivo o percentual de 70,28%, na medida em que o que se busca na espécie é a definição do indexador mais adequado à real recomposição do poder de compra da moeda no mês de janeiro de 1989, em face da extinção e congelamento do valor da OTN, papel público cuja flutuação refletia a perda inflacionária, mensal e diária, em termos de correção monetária oficial. - Impõe-se, preliminarmente, para delimitar-se o âmbito da controvérsia, esclarecer que a OTN, indexador oficial vigente desde fevereiro/86, teve seu valor reajustado mensalmente até 1º.01.89 e, diariamente, até o dia 15 daquele mês. - Com a edição do plano de estabilização econômica, implementado pela Lei nº 7.730/89, de 31.01.89 (MP nº 32, de 15.01.89), e que tomou o nome de "Plano Verão", extinguiu-se a emissão desse papel (art. 15), fixando-se seu valor nominal mensal em NCz$ 6,17, valor obtido com base na inflação constatada durante o mês de dezembro/88, calculada pela metodologia definida no art. 19 da Lei nº 2.335/87, verbis: "O IPC, a partir de julho de 1987, será calculado com base na média dos preços apurados entre o dia 15 do mês de referência e o dia 16 (dezesseis) do mês imediatamente anterior". Em termos estatísticos, portanto, pressupondo-se uma variação linear dos preços de meados de um mês a meados do outro, o índice assim obtido equivaleria à inflação aferida no dia correspondente ao ponto médio do período de mensuração. Esse ponto médio do período, compreendido entre o dia 16 de um mês e o dia 15 do mês seguinte, se localiza entre os dias 30 (ou 31) do primeiro, de forma que o índice de Preços ao Consumidor - IPC refletia a inflação mensal pela comparação efetuada entre os pontos médios de seu cálculo. - A inflação assim medida é que era considerada para efeito de atualização das Obrigações do Tesouro Nacional - OTN, cuja variação era utilizada como indexador oficial. - O problema relativo à indexação do mês de janeiro/89 surgiu da conjugação de dois fatores: a extinção do indexador oficial então vigente (a OTN) e a alteração na metodologia de cálculo do IPC, na forma do art. 9º da Lei nº 7.730/89, que dispôs: "Art. 9º - A taxa de variação do IPC será calculada comparando-se: I - no mês de janeiro de 1989, os preços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Judiciário, uma vez acionado e tomando em consideração os fatos econômicos, incumbe aplicar as normas de regência, dando a essas, inclusive, exegese e sentido ajustados aos princípios gerais de direito, como o que veda o enriquecimento sem causa. - O divulgado IPC de janeiro/89 (70,28%), considerados a forma atípica e anômala com que obtido e o flagrante descompasso com os demais índices, não refletiu a real oscilação inflacionária verificada no período, melhor se prestando a retratar tal variação o percentual de 42,72%, a incidir nas atualizações monetárias em sede de procedimento liquidatório.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2026-10-26T04:57:27.037Z</dcterms:created>
  <dcterms:modified xsi:type="dcterms:W3CDTF">2026-10-26T04:57:27.037Z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