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 99.975</w:t>
      </w:r>
    </w:p>
    <w:p>
      <w:r>
        <w:rPr>
          <w:b/>
          <w:bCs/>
        </w:rPr>
        <w:t xml:space="preserve">Julgado em: </w:t>
      </w:r>
      <w:r>
        <w:t xml:space="preserve">18/10/1984</w:t>
      </w:r>
    </w:p>
    <w:p/>
    <w:p>
      <w:r>
        <w:t xml:space="preserve">PROCESSO PENDENTE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Suspenso o óbice regimental pelo acolhimento da argüição de relevância (Regimento Interno do Supremo Tribunal Federal, artigo 325, "caput") conheço do recurso e lhe dou provimento, para determinar que a correção monetária se faça a partir da data da vigência da Lei nº 6.899/81. - Nesse sentido, alias, é o entendimento firmado por esta Corte, do qual ressalto o julgamento proferido por esta Eg. Turma, no RE nº 99.975 - RJ, de que foi Relator o eminente Ministro, SOARES MUÑOZ: "Correção monetária. Processo pendente de julgamento da liquidação. Incidência imediata da Lei nº 6.899/81. A Lei nº 6.899/81, em relação aos processos pendentes de liquidação, não incide retroativamente, mas de forma imediata a partir de sua vigência e, assim, sem ofensa à coisa julgada, porquanto a sentença nos termos do art. 468 do CPC, tem força de lei nos limites da lide e das questões decididas e, no caso vertente, nada foi decidido sobre correção monetária nas decisões proferidas no processo de conhecimento. Recurso Extraordinário conhecido e provido" (RE nº 99.975 - RJ - RTJ nº 106/442). Julgado em 19-10-1984 Revista Trimestral de Jurisprudência. Junho, 1985 - Vol. 112 - Pág. 1.287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pendente do julgamento da liquidação, a correção monetária tem incidência imediata a partir da Lei nº 6.899/61.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2026-10-26T04:58:49.202Z</dcterms:created>
  <dcterms:modified xsi:type="dcterms:W3CDTF">2026-10-26T04:58:49.202Z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