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FALTA DE PAGAMENTO</w:t>
      </w:r>
    </w:p>
    <w:p/>
    <w:p/>
    <w:p>
      <w:r>
        <w:t xml:space="preserve">NOVO ALUGUEL — INCIDÊNCIA SOBRE A DIFERENÇA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Acordam, em dar parcial provimento ao recurso para fixar o valor mensal do aluguel em Cz$ 6.809,00 sujeita a diferença dos aluguéis à correção monetária segundo os índices das ORTNs, e isentar o apelante dos ônus sucumbenciais, que lhe foram impostos pela sentença, compensada a verba honorária a divididas as custas, "pró-rata", mantida, no mais, a sentença do 1º grau. - Assim decidem, integrante neste o relatório, porque, segundo o entendimento pretoriano predominante, o valor do aluguel, no contrato renovado, deve ser fixado pelo critério da rentabilidade, que tem como base, o justo valor venal do imóvel locado, por ser tal critério o que melhor se ajusta à realidade econômica. Ac. de 19-11-1987 Arquivo do EMFOR, TA/868 EMFOR 476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critério da rentabilidade, para fixação do valor do novo aluguel, é o que melhor atende à realidade econômica. Sobre a diferença de aluguéis incide a correção monetária, a teor da Lei 6.899/81. Há sucumbência recíproca quando o valor do aluguel é fixado acima do proposto pelo locatário e abaixo do pretendido pelo locador.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2026-10-26T04:33:04.534Z</dcterms:created>
  <dcterms:modified xsi:type="dcterms:W3CDTF">2026-10-26T04:33:04.534Z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