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RESTABELECIMENTO DE SOCIEDADE</w:t>
      </w:r>
    </w:p>
    <w:p/>
    <w:p/>
    <w:p>
      <w:r>
        <w:t xml:space="preserve">PERÍCIA EM AÇÃO DE INTERDIÇÃO</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expor o que segue. De acordo com o noticiado na inicial, em razão do acidente, os danos sofridos pelo Interditando consistem em perdas temporárias de memória, que fazem com que o mesmo não saiba localizar-se no tempo e no espaço e que foram diagnosticadas por meio da realização de exames, conforme documentos de fls. 19 a 32. No entanto, a inaptidão da qual o mesmo é portador não é facilmente verificada por intermédio de conversa ou perguntas, pois o mesmo apresenta-se consciente durante boa parte do tempo. Dessa forma, requer seja o interditando novamente submetido a perícia, inclusive submetendo-o a realização de exame que comprove a perda da massa encefálica e para tanto requer os benefícios da assistência judiciária gratuita, pois os mesmos não podem arcar com as custas da demanda, sem prejuízos do próprio sustento.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2026-09-10T23:19:44.568Z</dcterms:created>
  <dcterms:modified xsi:type="dcterms:W3CDTF">2026-09-10T23:19:44.568Z</dcterms:modified>
</cp:coreProperties>
</file>

<file path=docProps/custom.xml><?xml version="1.0" encoding="utf-8"?>
<Properties xmlns="http://schemas.openxmlformats.org/officeDocument/2006/custom-properties" xmlns:vt="http://schemas.openxmlformats.org/officeDocument/2006/docPropsVTypes"/>
</file>