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RESTABELECIMENTO DE SOCIEDADE</w:t>
      </w:r>
    </w:p>
    <w:p/>
    <w:p/>
    <w:p>
      <w:r>
        <w:t xml:space="preserve">PERÍCIA EM AÇÃO DE INTERDIÇÃO</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expor o que segue. De acordo com o noticiado na inicial, em razão do acidente, os danos sofridos pelo Interditando consistem em perdas temporárias de memória, que fazem com que o mesmo não saiba localizar-se no tempo e no espaço e que foram diagnosticadas por meio da realização de exames, conforme documentos de fls. 19 a 32. No entanto, a inaptidão da qual o mesmo é portador não é facilmente verificada por intermédio de conversa ou perguntas, pois o mesmo apresenta-se consciente durante boa parte do tempo. Dessa forma, requer seja o interditando novamente submetido a perícia, inclusive submetendo-o a realização de exame que comprove a perda da massa encefálica e para tanto requer os benefícios da assistência judiciária gratuita, pois os mesmos não podem arcar com as custas da demanda, sem prejuízos do próprio sustento.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2026-10-26T05:05:20.483Z</dcterms:created>
  <dcterms:modified xsi:type="dcterms:W3CDTF">2026-10-26T05:05:20.483Z</dcterms:modified>
</cp:coreProperties>
</file>

<file path=docProps/custom.xml><?xml version="1.0" encoding="utf-8"?>
<Properties xmlns="http://schemas.openxmlformats.org/officeDocument/2006/custom-properties" xmlns:vt="http://schemas.openxmlformats.org/officeDocument/2006/docPropsVTypes"/>
</file>