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RESTABELECIMENTO DE SOCIEDADE</w:t>
      </w:r>
    </w:p>
    <w:p/>
    <w:p>
      <w:r>
        <w:rPr>
          <w:b/>
          <w:bCs/>
        </w:rPr>
        <w:t xml:space="preserve">Recurso: </w:t>
      </w:r>
      <w:r>
        <w:t xml:space="preserve">re .</w:t>
      </w:r>
    </w:p>
    <w:p>
      <w:r>
        <w:rPr>
          <w:b/>
          <w:bCs/>
        </w:rPr>
        <w:t xml:space="preserve">Tribunal: </w:t>
      </w:r>
      <w:r>
        <w:t xml:space="preserve">TJ/SC</w:t>
      </w:r>
    </w:p>
    <w:p/>
    <w:p>
      <w:r>
        <w:t xml:space="preserve">ALTERAÇÃO DE CLÁUSULA DE ACORDO DE VISITAÇÃO DE FILHO MENOR</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ALTERAÇÃO DE CLÁUSULA DE VISITA C/C LIMINAR em face de ....., brasileiro (a), (estado civil), profissional da área de ....., portador (a) do CIRG n.º ..... e do CPF n.º ....., residente e domiciliado (a) na Rua ....., n.º ....., Bairro ....., Cidade ....., Estado ....., pelos motivos de fato e de direito a seguir aduzidos. DOS FATOS A requerente casou-se com o requerido em data de ..... de ....... de ......, que em data de ..... de ...... de ....., distribuíram a competente AÇÃO DE DIVÓRCIO CONSENSUAL, devidamente homologada por este juízo em data de ..... de ...... de ......, em anexo , doc. 08 . Dessa união adveio o nascimento da filha ........., em data de ..... de ........ de .........., conforme certidão de nascimento em anexo , doc.05 . Assim sendo , acordam as partes na AÇÃO DE DIVÓRCIO, cópia em anexo , doc. .... , às fls. .... , terceiro parágrafo , que : " A filha menor do casal está deverá permanecer sob guarda e responsabilidade do pai , podendo a mãe visitá-la livremente, respeitados os horários de repouso e de estudos". Ocorre que a requerente vem passando por diversas situações constrangedoras, incômodas e humilhantes diante da postura inconsequente do pai da menor que poderá trazer problemas na formação de criança, senão vejamos : Diante do acordo entr e as partes por ocasião de Divórcio Consensual, com relação a visitação livre da mãe da menor , o requerido constantemente diz à ela que : " Eu é quem decido o local aonde você deve ir com a nossa filha" . As férias de meio (Julho) e final de ano (Janeiro) também não é permitido a menor passar com a requerente . Não é permitido também a menor passar o seu aniversário com a mãe ( nunca passou ) . O pai não permite que a menor em companhia da mãe realize passeios de final de semana até o litoral paranaense . Do que ora ocorre , Excelência , não vê a requerente outra alternativa , senão recorrer a justiça para tentar mudar esta situação de "visitação livre" , a qual , na prática não tão livre como possa parecer; assim , a requerente , bastante coerente , pleiteia desse juízo a homologação do direito de visitas da menor da seguinte forma : Final de semana alternado - ora um Sábado e Domingo a menor passaria com a mãe , ora um Sábado e Domingo a menor passaria com o pai , sendo que , a menor seria retirada pela mãe no domicílio da avó paterna ( local onde mora a menor) às 9:00 h da manhã de Sábado e devolvendo-a no Domingo até às 20:00 h . DIA DAS MÃES: passaria com a mãe. DIA DOS PAIS: passaria com o pai . ANIVERSÁRIO DA MENOR: ( nunca passou com a mãe) , que neste ano (2002) passaria com a mãe e , no próximo (2003) , com o pai , assim sucessivamente . NATAL: que 24/25 com a mãe , como já ocorre . FESTAS DE FINAL DE ANO: passaria com o pai , como já ocorre . FÉRIAS DE JULHO: passaria 7 (sete) dias com a mãe e 7 (sete) dias com o pai . FÉRIAS DE JANEIRO: passaria 15 ( quinze) dias com a mãe e 15 (quinze) dias com o pai . No período em que a menor estiver com a mãe poderá livremente escolher os locais de passeios com a sua filha , sem a interferência do pai . DO DIREITO Inicialmente , cabe ressaltar que a "tentativa" de afastame nto da requerente na vida da menor , é indiscutivelmente danosa , haja vista , que tal comportamento age fortemente sobre a formação da criança , assim , observa FRANÇOISE DOLTO, "toda criança imagina ser o centro da vida dos pais". Diante deste princípio , a justiça deve focar as suas atenções no interesse primacial dos filhos , mas sem perder de vista as condições básicas da formação da criança , que além da pensão , necessita também do amor e orientação de sua genitora . O estatuto da Criança e do Adolescente instituído pela lei 8.069 de 13 de Julho de 1990 , estabelece no título III , DA PREVENÇÃO , Capítulo I , Disposições Gerais , em seu artigo 70 , como segue: " Art. 70 . É dever de todos prevenir a ocorrência de ameaça ou violação 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2026-09-11T00:10:36.816Z</dcterms:created>
  <dcterms:modified xsi:type="dcterms:W3CDTF">2026-09-11T00:10:36.816Z</dcterms:modified>
</cp:coreProperties>
</file>

<file path=docProps/custom.xml><?xml version="1.0" encoding="utf-8"?>
<Properties xmlns="http://schemas.openxmlformats.org/officeDocument/2006/custom-properties" xmlns:vt="http://schemas.openxmlformats.org/officeDocument/2006/docPropsVTypes"/>
</file>