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RESTABELECIMENTO DE SOCIEDADE</w:t>
      </w:r>
    </w:p>
    <w:p/>
    <w:p>
      <w:r>
        <w:rPr>
          <w:b/>
          <w:bCs/>
        </w:rPr>
        <w:t xml:space="preserve">Recurso: </w:t>
      </w:r>
      <w:r>
        <w:t xml:space="preserve">re .</w:t>
      </w:r>
    </w:p>
    <w:p>
      <w:r>
        <w:rPr>
          <w:b/>
          <w:bCs/>
        </w:rPr>
        <w:t xml:space="preserve">Tribunal: </w:t>
      </w:r>
      <w:r>
        <w:t xml:space="preserve">TJ/SC</w:t>
      </w:r>
    </w:p>
    <w:p/>
    <w:p>
      <w:r>
        <w:t xml:space="preserve">ALTERAÇÃO DE CLÁUSULA DE ACORDO DE VISITAÇÃO DE FILHO MENOR</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ALTERAÇÃO DE CLÁUSULA DE VISITA C/C LIMINAR em face de ....., brasileiro (a), (estado civil), profissional da área de ....., portador (a) do CIRG n.º ..... e do CPF n.º ....., residente e domiciliado (a) na Rua ....., n.º ....., Bairro ....., Cidade ....., Estado ....., pelos motivos de fato e de direito a seguir aduzidos. DOS FATOS A requerente casou-se com o requerido em data de ..... de ....... de ......, que em data de ..... de ...... de ....., distribuíram a competente AÇÃO DE DIVÓRCIO CONSENSUAL, devidamente homologada por este juízo em data de ..... de ...... de ......, em anexo , doc. 08 . Dessa união adveio o nascimento da filha ........., em data de ..... de ........ de .........., conforme certidão de nascimento em anexo , doc.05 . Assim sendo , acordam as partes na AÇÃO DE DIVÓRCIO, cópia em anexo , doc. .... , às fls. .... , terceiro parágrafo , que : " A filha menor do casal está deverá permanecer sob guarda e responsabilidade do pai , podendo a mãe visitá-la livremente, respeitados os horários de repouso e de estudos". Ocorre que a requerente vem passando por diversas situações constrangedoras, incômodas e humilhantes diante da postura inconsequente do pai da menor que poderá trazer problemas na formação de criança, senão vejamos : Diante do acordo entr e as partes por ocasião de Divórcio Consensual, com relação a visitação livre da mãe da menor , o requerido constantemente diz à ela que : " Eu é quem decido o local aonde você deve ir com a nossa filha" . As férias de meio (Julho) e final de ano (Janeiro) também não é permitido a menor passar com a requerente . Não é permitido também a menor passar o seu aniversário com a mãe ( nunca passou ) . O pai não permite que a menor em companhia da mãe realize passeios de final de semana até o litoral paranaense . Do que ora ocorre , Excelência , não vê a requerente outra alternativa , senão recorrer a justiça para tentar mudar esta situação de "visitação livre" , a qual , na prática não tão livre como possa parecer; assim , a requerente , bastante coerente , pleiteia desse juízo a homologação do direito de visitas da menor da seguinte forma : Final de semana alternado - ora um Sábado e Domingo a menor passaria com a mãe , ora um Sábado e Domingo a menor passaria com o pai , sendo que , a menor seria retirada pela mãe no domicílio da avó paterna ( local onde mora a menor) às 9:00 h da manhã de Sábado e devolvendo-a no Domingo até às 20:00 h . DIA DAS MÃES: passaria com a mãe. DIA DOS PAIS: passaria com o pai . ANIVERSÁRIO DA MENOR: ( nunca passou com a mãe) , que neste ano (2002) passaria com a mãe e , no próximo (2003) , com o pai , assim sucessivamente . NATAL: que 24/25 com a mãe , como já ocorre . FESTAS DE FINAL DE ANO: passaria com o pai , como já ocorre . FÉRIAS DE JULHO: passaria 7 (sete) dias com a mãe e 7 (sete) dias com o pai . FÉRIAS DE JANEIRO: passaria 15 ( quinze) dias com a mãe e 15 (quinze) dias com o pai . No período em que a menor estiver com a mãe poderá livremente escolher os locais de passeios com a sua filha , sem a interferência do pai . DO DIREITO Inicialmente , cabe ressaltar que a "tentativa" de afastame nto da requerente na vida da menor , é indiscutivelmente danosa , haja vista , que tal comportamento age fortemente sobre a formação da criança , assim , observa FRANÇOISE DOLTO, "toda criança imagina ser o centro da vida dos pais". Diante deste princípio , a justiça deve focar as suas atenções no interesse primacial dos filhos , mas sem perder de vista as condições básicas da formação da criança , que além da pensão , necessita também do amor e orientação de sua genitora . O estatuto da Criança e do Adolescente instituído pela lei 8.069 de 13 de Julho de 1990 , estabelece no título III , DA PREVENÇÃO , Capítulo I , Disposições Gerais , em seu artigo 70 , como segue: " Art. 70 . É dever de todos prevenir a ocorrência de ameaça ou violação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2026-10-26T05:56:45.932Z</dcterms:created>
  <dcterms:modified xsi:type="dcterms:W3CDTF">2026-10-26T05:56:45.932Z</dcterms:modified>
</cp:coreProperties>
</file>

<file path=docProps/custom.xml><?xml version="1.0" encoding="utf-8"?>
<Properties xmlns="http://schemas.openxmlformats.org/officeDocument/2006/custom-properties" xmlns:vt="http://schemas.openxmlformats.org/officeDocument/2006/docPropsVTypes"/>
</file>