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p>
      <w:r>
        <w:t xml:space="preserve">PEDIDO DE ANULAÇÃO DE CASAMENTO, SOB ALEGAÇÃO DE ERRO ESSENCIAL SOBRE A PESSOA DO CÔNJUGE</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ANULAÇÃO DE CASAMENTO em face de ....., brasileiro (a), (estado civil), profissional da área de ....., portador (a) do CIRG n.º ..... e do CPF n.º ....., residente e domiciliado (a) na Rua ....., n.º ....., Bairro ....., Cidade ....., Estado ....., pelos motivos de fato e de direito a seguir aduzidos. DOS FATOS O requerente é casado, com (Nome do cônjuge), (qualificação), residente e domiciliado na Comarca de ...., na Rua .... n.º. ...., cujo ato solene realizou-se no dia .... Durante o tempo de namoro e noivado, a mulher do requerente sempre foi meiga e carinhosa, deixando a presumir, é evidente, que era pessoa sexualmente normal. Na viagem de núpcias, alegando cansaço, a requerida recusou-se ao "debitam conjugale." Regressando a esta cidade, o requerente pensou e usou de todos os meios para convencer sua esposa à prática do ato de conjunção carnal sem obter êxito. A irredutível inconformidade manifestada por sua mulher, ao convívio sexual, obrigou o requerente a deixar a residência do casal e, desiludido do casamento, voltar a casa de seus pais. DO DIREITO O requerente, homem normal e plenamente capacitado para o congresso sexual, diante do irredutível comportamento da requerida em não praticar esse sublime ato de amor, viu e vê o desmoronamento do seu casamento. A requerida, por certo, permanece virgem . Em caso como o presente, o Tribunal de Justiça do Rio de Janeiro, por unanimidade de votos, decidiu: "CASAMENTO - ANULAÇÃO - ERRO ESSENCIAL - RECUSA DA ESPOSA AO DÉBITO CONJUGAL - AÇÃO PROCEDENTE - SENTENÇA CONFIRMADA. Caracteriza o erro essencial a irredutível inconformidade manifestada pela mulher, quanto ao convívio sexual, evidenciada a circunstância em regular perícia médica." (Rev. dos Tribs., vol. 455, pág. 225). DOS PEDIDOS Diante do exposto, com fundamento no art. 1557, III, do Código Civil, quer o requerente promover contra sua mulher, já qualificada, a competente ação ordinária de anulação de casamento, requerendo a sua citação, por mandado, para que no prazo legal, querendo, apresente a defesa que tiver, sob pena de revelia, com a sua procedência e conseqüente anulação do casamento, condenando-a ao pagamento das custas do processo e honorários de advogado, como de direito. Protesta-se por todo gênero de prova admitido em direito, especialmente por perícia médico-legal.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2026-10-26T02:19:23.416Z</dcterms:created>
  <dcterms:modified xsi:type="dcterms:W3CDTF">2026-10-26T02:19:23.416Z</dcterms:modified>
</cp:coreProperties>
</file>

<file path=docProps/custom.xml><?xml version="1.0" encoding="utf-8"?>
<Properties xmlns="http://schemas.openxmlformats.org/officeDocument/2006/custom-properties" xmlns:vt="http://schemas.openxmlformats.org/officeDocument/2006/docPropsVTypes"/>
</file>