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CONSENSUAL</w:t>
      </w:r>
    </w:p>
    <w:p>
      <w:r>
        <w:rPr>
          <w:i/>
          <w:iCs/>
          <w:color w:val="666666"/>
        </w:rPr>
        <w:t xml:space="preserve">FILHOS MENORES</w:t>
      </w:r>
    </w:p>
    <w:p/>
    <w:p/>
    <w:p>
      <w:r>
        <w:t xml:space="preserve">CÔNJUGE VIRAGO PEDE A SEPARAÇÃO LITIGIOSA EM RAZÃO DO ABANDONO DO LAR PELO CÔNJUGE VARÃO</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SEPARAÇÃO JUDICIAL LITIGIOSA em face de ....., brasileiro (a), (estado civil), profissional da área de ....., portador (a) do CIRG n.º ..... e do CPF n.º ....., residente e domiciliado em lugar incerto e não sabido, pelos motivos de fato e de direito a seguir aduzidos. DOS FATOS Em data de ...., a Requerente casou se com o requerido no município de .... sob o regime de Comunhão Universal de Bens, sem pacto antenupcial (doc. ....). Não há bens a serem partilhados. Que deste casamento tiveram um filho: (Nome do filho), nascido no dia .... de .... de .... (doc. ....),que se encontra sob a guarda da mãe. Que o Requerido veio a abandonar o lar por motivos que a Requerente desconhece, como conseqüência, vem a dar brigas constantes quando se encontravam. Não dando atenção ao filho nem antes e principalmente depois da separação, comprovando assim a falta de qualidade de pai responsável. Comprova-se assim a impossibilidade da vida em comum. Que a separação de fato esta configurada desde a data de .... (.... anos). DO DIREITO Que o Requerido, depois de concordar com a separação consensual, desapareceu, encontrando-se em lugar incerto e não sabido, não mantendo assim qualquer contato com a requerente e nem com seus filhos. DOS PEDIDOS ISTO POSTO, requer-se a Vossa Excelência: 1- Intimação do representante do Ministério Público para atuar no feito. 2- Citação por edital do Requerido, por encontrar-se em lugar incerto e não sabido para que o mesmo querendo, responda aos termos da presente ação, sob pena de revelia. 3- O alegado provar-se-á com as ouvidas das testemunhas adiante arroladas, e protesta-se pela produção de outras provas em direito admitidas. 4- A guarda do filho ...., fundado no art. 1584 do Código Civil. 5- No final julgar procedente o presente pedido, para decretar a Separação dos cônjuges, por culpa exclusiva do Requerido, e o condenando ao pagamento das custas processuais e dos honorários advocatícios. Deferir à Requerente o direito de voltar a usar o nome de solteira, ou seja, ....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2026-06-17T16:56:37.678Z</dcterms:created>
  <dcterms:modified xsi:type="dcterms:W3CDTF">2026-06-17T16:56:37.678Z</dcterms:modified>
</cp:coreProperties>
</file>

<file path=docProps/custom.xml><?xml version="1.0" encoding="utf-8"?>
<Properties xmlns="http://schemas.openxmlformats.org/officeDocument/2006/custom-properties" xmlns:vt="http://schemas.openxmlformats.org/officeDocument/2006/docPropsVTypes"/>
</file>