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21/04/1986</w:t>
      </w:r>
    </w:p>
    <w:p/>
    <w:p>
      <w:r>
        <w:t xml:space="preserve">DÍVIDA DE VALOR DE NATUREZA ALIMENTAR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Sucede que este não concedeu a correção monetária com fundamento na citada Lei nº 6.899-81, mas em função de caráter alimentar (dívida de valor) que atribuiu à prestação e da aplicação subsidiária do Decreto-lei nº 75/66. - Esse fundamento apresenta-se correto, dada a natureza dos proventos, quer vistos como amparo de ordem social, quer encarados como continuação dos vencimentos, mas sempre uma importância destinada à subsistência do aposentado, correspondente, então, ao valor de utilidades a serem adquiridas, o que basta para afastar da espécie, a noção de dívida tipicamente de quantia certa, onde não se poderia divisar tal correspondência. - A esse propósito, recorda ABREU DE OLIVEIRA, em sua valiosa monografia: &lt;&lt;Ensina COCÂTRE-ZILGIEN que o provento constitui uma continuação do vencimento, já, essencialmente, pela proporcionalidade existente entre um e outro&gt;&gt; (Aposentadoria no Serviço Público, ed. Freitas Bastos, 1970, pág. 150). - Não destoa do seguinte tópico do voto do eminente Ministro FRANCISCO REZEK, como Relator do Recurso Extraordinário nº 97.149, perante a Egrégia Segunda Turma, que o acolheu, sem discrepância : &lt;&lt;Por acréscimo, observo que é no mínimo discutível a tese da afronta ao art. 102, §§ 1º e 2º da Constituição. - Os dinheiros em causa, por seu caráter alimentar, parecem inscrever-se no domínio das dívidas de valor, cuja natureza reclama a correção monetária. - Neste sentido as recorridas juntam aos autos despacho - não agravado - do Ministro NÉRI DA SILVEIRA, entendendo aplicável, em caso semelhante a este, o art. 1º do Decreto-lei nº 75/66; abonando a interpretação do art. 102, § 1º da Carta como fundamento de atualização de proventos ante o fator infla cionário; e asseverando que dívidas como a que se coloca em debate têm índole alimentar. Registro, por último, que nos RREE ns. 95.017-6 - MG e 97. 639-6 - SP esta Casa afirmou que proventos e vencimentos não pagos regularmente comportam, à vista de sua natureza alimentar, a correção monetária&gt;&gt;. - Não conheço do Recurso Extraordinário. Julgado em 22-04-1986 Revista Trimestral de Jurisprudência. Vol. 117 - Pág. 1.335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correção monetária nos proventos de aposentadoria em período anterior ao da vigência da Lei nº 6.899/81, mas justificada pela configuração de dívida de valor, de natureza alimentar.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2026-07-28T01:47:11.008Z</dcterms:created>
  <dcterms:modified xsi:type="dcterms:W3CDTF">2026-07-28T01:47:11.008Z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