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r>
        <w:rPr>
          <w:b/>
          <w:bCs/>
        </w:rPr>
        <w:t xml:space="preserve">Recurso: </w:t>
      </w:r>
      <w:r>
        <w:t xml:space="preserve">Ap. 32.044</w:t>
      </w:r>
    </w:p>
    <w:p>
      <w:r>
        <w:rPr>
          <w:b/>
          <w:bCs/>
        </w:rPr>
        <w:t xml:space="preserve">Relator: </w:t>
      </w:r>
      <w:r>
        <w:t xml:space="preserve">Xavier Vieira</w:t>
      </w:r>
    </w:p>
    <w:p/>
    <w:p>
      <w:r>
        <w:t xml:space="preserve">AÇÃO CAUTELAR DE VISITAÇÃO PROPOSTA POR GENITOR, ANTE IMPEDIMENTO PELA MÃE DOS MENORES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VISITAÇÃO em face de ...., brasileiro (a), (estado civil), profissional da área de ....., portador (a) do CIRG n.º ..... e do CPF n.º ....., residente e domiciliado (a) na Rua ....., n.º ....., Bairro ....., Cidade ....., Estado ....., pelos motivos de fato e de direito a seguir aduzidos. DOS FATOS Em ...... de ....... de ......, o Juízo da ..... Vara de Família desta comarca, estipulou uma pensão alimentícia, para a menor ......., filha do ora autor com a ré, na base de 25% de seus vencimentos, conforme documento anexo. Entretanto, nesta referida ação, não foi deslumbrado o direito de visita do autor, visto que, este direito, ocorria normalmente, sem nenhum impedimento. Ocorre que ultimamente, a ré, vem afastando a menor do convívio com o pai, ou seja, o requerente vem sendo sistematicamente impedido de visitar sua filha. Ressalte-se, por relevante, que o distanciamento imposto poderá acarretar graves danos psicológicos a própria menor. DO DIREITO Vale destacar o entendimento já firmado por nossos Tribunais, mutatis mutantis, aplicável à espécie: "O direito de visita, segundo a melhor exegese do art. 15 da Lei do Divórcio, visa a preservação do afeto resultante do vínculo da paternidade. Da parte do pai, ou da mãe, em cuja guarda não estejam os filhos, tem o sentido maior de dever. Dentre as neces sidades fundamentais do ser humano, no alvorecer de sua existência, avultam a necessidade de amor e de segurança afetiva. Equivocam-se, desafortunadamente, os pais, quando colocam em primeiro plano o seu direito, antepondo-o ao dos filhos, eis que são estes os detentores dessa primazia. Ao regulamentar as visitas o juiz deve estar atento aos superiores interesses das crianças pertencentes a famílias monoparentais. Em casos excepcionais, e só nesses, as visitas podem ser suspensas, quando comprovadamente nocivas à saúde física e mental dos visitados. Afora isso, qualquer frustação do intercâmbio afetivo é prejudicial ao educante." (Ac. Unânime da 2ª Câm. Do TJSC, na Ap. nº 32.044, julgada em 19.12.89 - Relator: Des. Xavier Vieira; JC, vol. 65,p.152.) DOS PEDIDOS Assim sendo, demonstrados os requisitos pertinentes a tutela cautelar do fumus boni iuris e o periculum in mora, requer a Vossa Excelência seja concedida a medida cautelar, para o fim de que possa o Requerente exercer o direito de visitação, na seguinte forma: Nos fins de semana alternados, irá retirar a menor no sábado às 9:00h. com a devolução às 18:30h. do domingo; No dia dos pais e no dia das mães, a menor ficará sob a responsabilidade do pai ou a mãe quando for seu respectivo dia; No Natal e no Ano Novo alternadamente, a menor ficará sob a responsabilidade da mãe no Natal, e no Ano Novo do pai; Nas férias, a menor alternará, onde as primeiras férias de janeiro/fevereiro de ........ ficará com a responsabilidade do pai e as férias de julho/agosto com a mãe, sendo certo que, no próximo ano, de ......., existirá uma troca, ou seja, a mãe ficará com a posse da menor nas férias de janeiro/fevereiro e o pai com julho/agosto, e assim por diante; No aniversário da menor, de 9:00h até às 16:00, ficará com o pai e depois com a mãe, sendo certo que, no próximo aniversário isto se inverterá. Requer, ainda, seja a medida concedida LIMINARMENTE e inaudita altera pars, conforme o p receituado no artigo 804, do diploma processual civil, com a posterior citação da Requerida, para, querendo, responder o presente pedido, que deverá ao final ser julgado procedente para determinar a visitação do Requerente à menor...... Nestas circunstâncias, indica prova testemunhal e depoimento pessoal da Requerida, sob pena de confissão. Indica para fins do artigo 39, I do CPC o seguinte endereço:Av. ....., nº ........, sala ......... Centro .....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2026-09-10T22:29:32.783Z</dcterms:created>
  <dcterms:modified xsi:type="dcterms:W3CDTF">2026-09-10T22:29:32.783Z</dcterms:modified>
</cp:coreProperties>
</file>

<file path=docProps/custom.xml><?xml version="1.0" encoding="utf-8"?>
<Properties xmlns="http://schemas.openxmlformats.org/officeDocument/2006/custom-properties" xmlns:vt="http://schemas.openxmlformats.org/officeDocument/2006/docPropsVTypes"/>
</file>