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FILHOS MENORES</w:t>
      </w:r>
    </w:p>
    <w:p/>
    <w:p>
      <w:r>
        <w:rPr>
          <w:b/>
          <w:bCs/>
        </w:rPr>
        <w:t xml:space="preserve">Recurso: </w:t>
      </w:r>
      <w:r>
        <w:t xml:space="preserve">Ap. 32.044</w:t>
      </w:r>
    </w:p>
    <w:p>
      <w:r>
        <w:rPr>
          <w:b/>
          <w:bCs/>
        </w:rPr>
        <w:t xml:space="preserve">Relator: </w:t>
      </w:r>
      <w:r>
        <w:t xml:space="preserve">Xavier Vieira</w:t>
      </w:r>
    </w:p>
    <w:p/>
    <w:p>
      <w:r>
        <w:t xml:space="preserve">AÇÃO CAUTELAR DE VISITAÇÃO PROPOSTA POR GENITOR, ANTE IMPEDIMENTO PELA MÃE DOS MENORES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MEDIDA CAUTELAR DE VISITAÇÃO em face de ...., brasileiro (a), (estado civil), profissional da área de ....., portador (a) do CIRG n.º ..... e do CPF n.º ....., residente e domiciliado (a) na Rua ....., n.º ....., Bairro ....., Cidade ....., Estado ....., pelos motivos de fato e de direito a seguir aduzidos. DOS FATOS Em ...... de ....... de ......, o Juízo da ..... Vara de Família desta comarca, estipulou uma pensão alimentícia, para a menor ......., filha do ora autor com a ré, na base de 25% de seus vencimentos, conforme documento anexo. Entretanto, nesta referida ação, não foi deslumbrado o direito de visita do autor, visto que, este direito, ocorria normalmente, sem nenhum impedimento. Ocorre que ultimamente, a ré, vem afastando a menor do convívio com o pai, ou seja, o requerente vem sendo sistematicamente impedido de visitar sua filha. Ressalte-se, por relevante, que o distanciamento imposto poderá acarretar graves danos psicológicos a própria menor. DO DIREITO Vale destacar o entendimento já firmado por nossos Tribunais, mutatis mutantis, aplicável à espécie: "O direito de visita, segundo a melhor exegese do art. 15 da Lei do Divórcio, visa a preservação do afeto resultante do vínculo da paternidade. Da parte do pai, ou da mãe, em cuja guarda não estejam os filhos, tem o sentido maior de dever. Dentre as neces sidades fundamentais do ser humano, no alvorecer de sua existência, avultam a necessidade de amor e de segurança afetiva. Equivocam-se, desafortunadamente, os pais, quando colocam em primeiro plano o seu direito, antepondo-o ao dos filhos, eis que são estes os detentores dessa primazia. Ao regulamentar as visitas o juiz deve estar atento aos superiores interesses das crianças pertencentes a famílias monoparentais. Em casos excepcionais, e só nesses, as visitas podem ser suspensas, quando comprovadamente nocivas à saúde física e mental dos visitados. Afora isso, qualquer frustação do intercâmbio afetivo é prejudicial ao educante." (Ac. Unânime da 2ª Câm. Do TJSC, na Ap. nº 32.044, julgada em 19.12.89 - Relator: Des. Xavier Vieira; JC, vol. 65,p.152.) DOS PEDIDOS Assim sendo, demonstrados os requisitos pertinentes a tutela cautelar do fumus boni iuris e o periculum in mora, requer a Vossa Excelência seja concedida a medida cautelar, para o fim de que possa o Requerente exercer o direito de visitação, na seguinte forma: Nos fins de semana alternados, irá retirar a menor no sábado às 9:00h. com a devolução às 18:30h. do domingo; No dia dos pais e no dia das mães, a menor ficará sob a responsabilidade do pai ou a mãe quando for seu respectivo dia; No Natal e no Ano Novo alternadamente, a menor ficará sob a responsabilidade da mãe no Natal, e no Ano Novo do pai; Nas férias, a menor alternará, onde as primeiras férias de janeiro/fevereiro de ........ ficará com a responsabilidade do pai e as férias de julho/agosto com a mãe, sendo certo que, no próximo ano, de ......., existirá uma troca, ou seja, a mãe ficará com a posse da menor nas férias de janeiro/fevereiro e o pai com julho/agosto, e assim por diante; No aniversário da menor, de 9:00h até às 16:00, ficará com o pai e depois com a mãe, sendo certo que, no próximo aniversário isto se inverterá. Requer, ainda, seja a medida concedida LIMINARMENTE e inaudita altera pars, conforme o p receituado no artigo 804, do diploma processual civil, com a posterior citação da Requerida, para, querendo, responder o presente pedido, que deverá ao final ser julgado procedente para determinar a visitação do Requerente à menor...... Nestas circunstâncias, indica prova testemunhal e depoimento pessoal da Requerida, sob pena de confissão. Indica para fins do artigo 39, I do CPC o seguinte endereço:Av. ....., nº ........, sala ......... Centro .....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2026-10-26T03:27:00.336Z</dcterms:created>
  <dcterms:modified xsi:type="dcterms:W3CDTF">2026-10-26T03:27:00.336Z</dcterms:modified>
</cp:coreProperties>
</file>

<file path=docProps/custom.xml><?xml version="1.0" encoding="utf-8"?>
<Properties xmlns="http://schemas.openxmlformats.org/officeDocument/2006/custom-properties" xmlns:vt="http://schemas.openxmlformats.org/officeDocument/2006/docPropsVTypes"/>
</file>