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r>
        <w:rPr>
          <w:b/>
          <w:bCs/>
        </w:rPr>
        <w:t xml:space="preserve">Recurso: </w:t>
      </w:r>
      <w:r>
        <w:t xml:space="preserve">Ap. Cível 590.069.308</w:t>
      </w:r>
    </w:p>
    <w:p>
      <w:r>
        <w:rPr>
          <w:b/>
          <w:bCs/>
        </w:rPr>
        <w:t xml:space="preserve">Tribunal: </w:t>
      </w:r>
      <w:r>
        <w:t xml:space="preserve">TJRS</w:t>
      </w:r>
    </w:p>
    <w:p>
      <w:r>
        <w:rPr>
          <w:b/>
          <w:bCs/>
        </w:rPr>
        <w:t xml:space="preserve">Relator: </w:t>
      </w:r>
      <w:r>
        <w:t xml:space="preserve">Juíza Maria Berenice Dias</w:t>
      </w:r>
    </w:p>
    <w:p/>
    <w:p>
      <w:r>
        <w:t xml:space="preserve">REQUERIMENTO DE DISSOLUÇÃO DE UNIÃO ESTÁVEL CUMULADO COM ALIMENTOS PROVISIONAIS</w:t>
      </w:r>
    </w:p>
    <w:p/>
    <w:p>
      <w:pPr>
        <w:pStyle w:val="Heading2"/>
      </w:pPr>
      <w:r>
        <w:rPr>
          <w:b/>
          <w:bCs/>
        </w:rPr>
        <w:t xml:space="preserve">Ementa</w:t>
      </w:r>
    </w:p>
    <w:p>
      <w:r>
        <w:t xml:space="preserve">EXCELENTÍSSIMO SENHOR DOUTOR JUIZ DE DIREITO DA ....... VARA DE FAMÍLIA DA COMARCA DE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ORDINÁRIA DE DISSOLUÇÃO DE UNIÃO ESTÁVEL C/C PEDIDO DE ALIMENTOS PROVISIONAIS em face de ....., brasileiro (a), (estado civil), profissional da área de ....., portador (a) do CIRG n.º ..... e do CPF n.º ....., residente e domiciliado (a) na Rua ....., n.º ....., Bairro ....., Cidade ....., Estado ....., pelos motivos de fato e de direito a seguir aduzidos. DOS FATOS As partes integrantes do presente feito conviveram maritalmente durante mais de 03 (três) anos, de forma ostensiva e contínua, em comunhão de vida e de interesses, sendo reconhecidos pela sociedade como se casados fossem, inclusive pelo fato de sempre terem morado na mesma residência com harmonia e carinho. Da união estável acima referida não adveio nascimento de filhos. A convivência se desenvolveu relativamente bem até o início do corrente ano, quando o requerido passou a dispensar tratamento de desprezo à autora, inclusive chegando a ter um novo relacionamento com outra mulher, assim como abandonando o lar familiar. O réu, reiteradamente, através de suas palavras e atitudes, violou os deveres inerentes à união estável, mormente no que tange à assistência moral e material, assim como quanto ao respeito e consideração. Em conseqüência, a autora constantemente experimentava constrangimentos morais provenientes da conduta desonrosa e reprovável do ré u, a qual será devidamente descortinada na fase instrutória. Como ressaltado, o requerido, injustificada e inopinadamente, resolveu abandonar o lar onde residia com a requerida, sem se preocupar em auxiliá-la moral e materialmente, ao oposto, esquivou-se de tal responsabilidade. Testemunhas, em momento processual oportuno, confirmarão os atos ofensivos do requerido, que insistentemente vilipendiava seus deveres enquanto convivente da autora, tratando-a de forma bruta e ameaçando-a muitas vezes. Restando inviável a manutenção da convivência comum, por culpa exclusiva do comportamento repugnável do réu, e não havendo condições de resolver amigavelmente a querela em apreço, a autora invoca a tutela jurisdicional para ter reconhecido o seu direito à alimentos, bem como para obter a meação dos bens amealhados durante a constância da união. DO DIREITO Traduzindo um entendimento paradigmático acerca do novo instituto jurídico da união estável, ao relatar acórdão sobre alimentos devidos à companheira, pontificou a juíza Maria Berenice Dias (Apud Gizelda Maria Scalon Seixas Santos, União Estável e Alimentos, Editora de Direito, 1996, p. 16/17) que: "O fato social se impôs, e depois de jurisdicizado pelo juiz, se fez lei, pela mão do próprio povo através da Constituição elaborada por seus representantes. Guindada a união estável à categoria de entidade familiar restou equiparada ao casamento merecedora da mesma proteção outorgada à família, nada mais se fazendo necessário para que de forma imediata seja reconhecida e tratada pelas regras do Direito de Família que foram recepcionadas pelo novo ordenamento jurídico, com seu conceito dilatado" (TJRS - 8ª Câmara, Ap. Cível n. 590.069.308 - Porto Alegre, Rel. Juíza Maria Berenice Dias, j. 20.12.90, m.v. Boletim AASP n. 1706, p. 227). Como bem se vê, aplica-se à união estável tratamento jurídico similar ao que se confere ao casamento, ilação esta que constitui o substrato dos pedidos a seguir deduzid os. 1. DA PENSÃO ALIMENTÍCIA À REQUERENTE e DA CONDIÇÃO DE SUFICIÊNCIA FINANCEIRA DO REQUERIDO: A requerente sempre dependeu do amparo material do requerido para se manter, eis que sempre se ocupou precipuamente das desgastantes atividades domésticas do convívio em apreço, inclusive foi estimulada pelo réu a não laborar fora de casa. Atualmente, sem mais o indigitado recurso, a requerente passou a padecer de aguda precariedade econômica, estado este um pouco atenuado pelos parcos recursos que passou a auferir laborando como zeladora, os quais mal lhe possibilitam arcar com os 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2026-06-17T20:50:03.502Z</dcterms:created>
  <dcterms:modified xsi:type="dcterms:W3CDTF">2026-06-17T20:50:03.502Z</dcterms:modified>
</cp:coreProperties>
</file>

<file path=docProps/custom.xml><?xml version="1.0" encoding="utf-8"?>
<Properties xmlns="http://schemas.openxmlformats.org/officeDocument/2006/custom-properties" xmlns:vt="http://schemas.openxmlformats.org/officeDocument/2006/docPropsVTypes"/>
</file>