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AÇÃO DE INVESTIGAÇÃO DE PATERNIDADE CUMULADA COM ALIMENTOS</w:t>
      </w:r>
    </w:p>
    <w:p/>
    <w:p>
      <w:pPr>
        <w:pStyle w:val="Heading2"/>
      </w:pPr>
      <w:r>
        <w:rPr>
          <w:b/>
          <w:bCs/>
        </w:rPr>
        <w:t xml:space="preserve">Ementa</w:t>
      </w:r>
    </w:p>
    <w:p>
      <w:r>
        <w:t xml:space="preserve">EXCELENTÍSSIMO SENHOR DOUTOUR JUIZ DE DIREITO DA ..... VARA DE FAMÍLIA DA COMARCA DE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C/C AÇÃO DE ALIMENTOS em face de ....., brasileiro (a), (estado civil), profissional da área de ....., portador (a) do CIRG n.º ..... e do CPF n.º ....., residente e domiciliado (a) na Rua ....., n.º ....., Bairro ....., Cidade ....., Estado ....., pelos motivos de fato e de direito a seguir aduzidos. DOS FATOS O requerente é filho da genitora e do requerido, nascido aos ..... A genitora do requerente antes de engravidar, era assídua freqüentadora do lar da família do requerido, com os quais sempre manteve fortes laços de amizade. No natal de ...., a genitora do requerente foi convidada pela cônjuge do requerido para passar o natal e o ano novo no litoral de ....., conforme comprova-se pelas fotos anexo. Foi a partir desse momento que começou a se desenhar uma relação amorosa entre o requerido e a genitora do requerente, na noite de natal, mais precisamente após a ceia, momento em que o requerido afastou-se dos seus familiares juntamente com a mãe do requerente para ficarem a sós, oportunidade em que mantiveram a primeira relação sexual. Por dois meses as partes estiveram envolvidas amorosamente, tempo suficiente para que a genitora do Autor pudesse engravidar. No final de fevereiro, a genitora comunicou ao requerido que estava grávida, esperando portanto, um filho dele. Desse momento em diante, assustado com a situação de ter um filho oriundo de um relacionamento extraconjugal, rompeu o relacionamento, e daí em diante, começou a negar a paternidade. Após o quarto mês de gestação, a cônjuge do requerido, vendo a situação de penúria em que a genitora do requerente estava passando, lhe ofereceu sua residência para morar, em cujo local permaneceu por 12(doze) meses, segundo prova-se pela fatura mensal do cartão de crédito, que lhe fora enviado à residência do requerido e pelas fotos anexo. Apesar da genitora do requerente estar morando no mesmo teto do requerido, este nunca lhe tratou com ternura, afeto, mas com frieza, como se fosse uma estranha, o que não era, pois estava esperando um filho, cujo pai era o Requerente. Não obstante, do requerido sempre negar a relação extraconjugal com a genitora do requerente, não negou de prestar fiança num contrato de locação, conforme prova-se pelo contrato de locação anexo. Assim, conclui-se, pelas provas apresentadas, que o requerido possuía uma grande afinidade com a mãe do requerente, não restando dúvidas, de que é pai do autor. É necessário ressaltar, que a mãe biológica do requerente, no período de sua concepção, não manteve relações sexuais com nenhum outro parceiro, a não ser aquelas com o ora Requerido, anteriormente citadas. Embora a mãe biológica do Requerente, durante o período de gravidez e após o seu nascimento, tenha procurado o Requerido, este não assumiu a paternidade, negando-se a reconhecê-lo como seu filho, ou a contribuir com suas obrigações em relação ao mesmo, o qual necessita de alimentos para suprir suas necessidades vitais, como educação, vestuário, alimentação, assistência médico -fármaco-hospitalar e outras, decorrentes do pátrio poder e do dever de sustento, sendo que a mãe dispõe de parcos recursos para prover ao seu sustento, razão pela qual vale-se da presente ação, para compelir o Requer ido assumir a paternidade, além de colaborar em seu sustento. Não obstante várias tentativas, até a presente data o requerido tem se negado em reconhecer o requerente como filho, não lhe restando portanto, outra alternativa senão a via judicial para ver satisfeito sua pretensão. DO DIREITO A pretensão do autor é resguardada pelo artigo 27 da Lei 8.069/90 (Estatuto da Criança e do Adolescente), cujo dispositivo, determina que o reconhecimento de filiação é direito personalíssimo, podendo ser exercitado contra os pais ou herdeiros, sem qualquer restrição, observado o segredo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2026-10-26T03:27:07.796Z</dcterms:created>
  <dcterms:modified xsi:type="dcterms:W3CDTF">2026-10-26T03:27:07.796Z</dcterms:modified>
</cp:coreProperties>
</file>

<file path=docProps/custom.xml><?xml version="1.0" encoding="utf-8"?>
<Properties xmlns="http://schemas.openxmlformats.org/officeDocument/2006/custom-properties" xmlns:vt="http://schemas.openxmlformats.org/officeDocument/2006/docPropsVTypes"/>
</file>