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AÇÃO DE ALIMENTOS</w:t>
      </w:r>
    </w:p>
    <w:p>
      <w:r>
        <w:rPr>
          <w:i/>
          <w:iCs/>
          <w:color w:val="666666"/>
        </w:rPr>
        <w:t xml:space="preserve">INVESTIGAÇÃO DE PATERNIDADE</w:t>
      </w:r>
    </w:p>
    <w:p/>
    <w:p/>
    <w:p>
      <w:r>
        <w:t xml:space="preserve">CONTESTAÇÃO AO PEDIDO DE INTERDIÇÃO, ALEGANDO-SE INEXISTÊNCIA DE INCAPACIDADE MENTAL</w:t>
      </w:r>
    </w:p>
    <w:p/>
    <w:p>
      <w:pPr>
        <w:pStyle w:val="Heading2"/>
      </w:pPr>
      <w:r>
        <w:rPr>
          <w:b/>
          <w:bCs/>
        </w:rPr>
        <w:t xml:space="preserve">Ementa</w:t>
      </w:r>
    </w:p>
    <w:p>
      <w:r>
        <w:t xml:space="preserve">EXMO. SR. DR. JUIZ DE DIREITO DA ..... VARA CÍVEL DA COMARCA DE ....., ESTADO DO ..... AUTOS Nº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apresentar CONTESTAÇÃO à ação de interdição proposta por ...., pelos motivos de fato e de direito a seguir aduzidos. PRELIMINARMENTE INÉPCIA DA PETIÇÃO INICIAL A petição inicial é inepta e o processo deve ser extinto sem julgamento do mérito, nos moldes do artigo 267, I, do CPC. Com efeito, o artigo 1180 do CPC dispõe que "na petição inicial, o interessado provará a sua legitimidade, especificará os fatos que revela a anomalia psíquica e assinalará a incapacidade do interditando para reger a sua pessoa e administrar seus bens". Ocorre que a requerente em sua petição inicial, descreveu alguns fatos, inverídicos diga-se de passagem, porém não fez menção em tempo algum que o requerido é incapaz de reger sua pessoa ou administrar seus bens. Com isso faltou à petição inicial algo indispensável, nos termos do art. 1180 do CPC, devendo ser considerada inepta e indeferida por Vossa Excelência, nos moldes do artigo 295, inciso I e parágrafo único, inciso II, do CPC. Indeferida a petição inicial, deve o processo ser extinto sem julgamento do mérito, conforme artigo 267, I do CPC. DO MÉRITO No mérito o pedido não leva melhor sorte, ou seja, deve ser julgado inteiramente improcedente pelo Juízo, pois inexiste causa para a interdição. Primeiramente há que se dizer que as afirmações da exordial são totalmente absurdas, se m qualquer nexo ou fundo de verdade, vez que o requerido nunca apresentou sintomas de perturbação mental, jamais foi agressivo, tampouco fala palavras desconexas, não é de se ausentar de casa freqüentemente, e não vem tentando vender seus direitos hereditários sobre o imóvel em que reside com a requerente. Com efeito, se existe alguém perturbado nos fatos narrados é a requerente, que inventou o contido na petição inicial e carece de provas para prová-lo. A ganância da requerente na realidade a fez requerer a interdição do requerido, e o pedido deverá ser julgado inteiramente improcedente. Em nada o requerido demonstra ser uma pessoa com problemas passíveis de provocarem sua interdição. O requerido tem emprego fixo sendo funcionário do ...., e uma pessoa querida por todos os que consigo convivem. O fato de que o mesmo possui alguns problemas de origem emocional não pode dar azo à decretação de sua interdição, vez que o mesmo nunca cometeu qualquer anormalidade, principalmente as descritas na petição inicial. Inclusive uma das vezes que o requerido esteve internado no Hospital Psiquiátrico .... foi a mando da requerente, que chamou uma viatura da casa hospitalar, sendo sua morada sumariamente invadida (com a requerente abrindo as portas) e o requerido sendo levado a contra gosto e sem nada ter apresentado de anormal;. Por outro lado, os documentos que acompanham a exordial nada provam ou são inverídicos, conforme se verá a seguir: O documento de fls. .... é impugnado em seu todo, por ser de caráter unilateral e por conter afirmações desconexas, como se tratar o requerente por doente mental agressivo. Os demais documentos nada provam, pois tratam-se de atestados médicos e requisições de exames, NENHUM DOS MESMOS CONTENDO AFIRMAÇÕES DE QUE O REQUERIDO É INCAPAZ OU COISA QUE O VALHA. Ademais impugna-se todos os documentos que não estejam na sua forma originais ou por fotocópias autenticadas por tabelião, por serem imprestáveis à qualquer pr ova. Sendo assim, o requerido não é incapaz, como quer a requerente e o pedido de interdição deve ser indeferido em todos os seus termos. DOS PEDIDO Posto isto requer o requerido o indeferimento do pedido de interdição, com a condenação da requerente no pagamento de despesas processuais e honorários advocatícios. Protesta provar o requerido suas alegações por todos os meios de prova em direito admitidos, notadamente depoimento pessoal da requerente, testemunhal, cujo rol depositará em cartório oportunamente, e pericial. Nesses Termos, Pede Deferimento. Local e data ... Advogado OAB</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2026-09-11T00:26:15.303Z</dcterms:created>
  <dcterms:modified xsi:type="dcterms:W3CDTF">2026-09-11T00:26:15.303Z</dcterms:modified>
</cp:coreProperties>
</file>

<file path=docProps/custom.xml><?xml version="1.0" encoding="utf-8"?>
<Properties xmlns="http://schemas.openxmlformats.org/officeDocument/2006/custom-properties" xmlns:vt="http://schemas.openxmlformats.org/officeDocument/2006/docPropsVTypes"/>
</file>