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p>
      <w:r>
        <w:t xml:space="preserve">AÇÃO DE DIVÓRCIO DIRETO LITIGIOSO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advogado da DEFENSORIA PÚBLICA, DR ......, portador da OAB/ ..., sob o nº ...., ) (procuração em anexo - doc. 01), com endereço profissional à Rua ....., nº ....., Bairro ....., Cidade ....., Estado ....., onde recebe notificações e intimações, vem mui respeitosamente à presença de Vossa Excelência propor: AÇÃO DE DIVÓRCIO DIRETO LITIGIOSO em face de ....., brasileiro (a), (estado civil), profissional da área de ....., portador (a) do CIRG n.º ..... e do CPF n.º ....., residente e domiciliado (a) na Rua ....., n.º ....., Bairro ....., Cidade ....., Estado ....., pelos motivos de fato e de direito a seguir aduzidos. DOS FATOS A autora casou-se com o réu em data de ....., sob o regime de comunhão universal de bens. Ficaram casados durante sete anos, advindo da relação um filho que hoje se encontra com 4 anos, de nome ..... Há dois anos e meio o casal encontra-se separado de fato, ante a incompatibilidade de gênios. A requerente declara que o casal não possui bens e que voltará a usar o nome de solteira apõs a decretação do divórcio. Apenas solicita alimentos para o filho menor, observada a proporção de 30% dos rendimentos do cônjuge, o que daria o valor de R$ ..... Abstém-se de pedir alimentos para si, uma vez que trabalha e possui rendimentos. Quanto à guarda do filho, requer que a mesma seja atribuída a si, uma vez que a criança é pequena e necessita dos cuidados da mãe. O pai pode visitá-lo às ..... e ..... e passar um final de semana a cada mês com a criança. DO DIREITO Quanto aos alimentos ao menor, é de direito do mesmo, conforme o art. 1694 do Novo Código Civil. O pedido de divórcio direto encontra fulcro no art. 226, § 6º da Constituição Federal, uma vez que o casal encontra-se separado de fato há mais de dois anos, conforme requisito estatuído no mesmo dispositivo legal. DOS PEDIDOS Ante o exposto, requer-se: 1. A citação do réu para, querendo, apresentar contestação; 2. Seja o pedido julgado PROCEDENTE, enviando-se ofício ao cartório de registros civis para averbação do divórcio; 3. Sejam concedidos alimentos provisórios ao filho menor, até o deferimento dos alimentos definitivos; 4. A concessão da guarda do menor à mãe e a regularização do direito de visita pelo pai; 5. A concessão de justiça gratuita, já que a requerente é pobre na acepção jurídica do termo; 6. O pagamento de custas e honorários advocatícios por parte do réu.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2026-06-17T15:23:43.423Z</dcterms:created>
  <dcterms:modified xsi:type="dcterms:W3CDTF">2026-06-17T15:23:43.423Z</dcterms:modified>
</cp:coreProperties>
</file>

<file path=docProps/custom.xml><?xml version="1.0" encoding="utf-8"?>
<Properties xmlns="http://schemas.openxmlformats.org/officeDocument/2006/custom-properties" xmlns:vt="http://schemas.openxmlformats.org/officeDocument/2006/docPropsVTypes"/>
</file>