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 DE ARROLAMENTO DE BENS</w:t>
      </w:r>
    </w:p>
    <w:p/>
    <w:p/>
    <w:p>
      <w:r>
        <w:t xml:space="preserve">MEDIDA CAUTELAR DE ARROLAMENTO DE BENS ADQUIRIDOS NA CONSTÂNCIA DO CASAMENTO, ANTE AMEAÇA DE DISSIPAÇÃO DOS MESMOS POR PARTE DE CÔNJUGE</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MEDIDA CAUTELAR DE ARROLAMENTO DE BENS em face de ....., brasileiro (a), (estado civil), profissional da área de ....., portador (a) do CIRG n.º ..... e do CPF n.º ....., residente e domiciliado (a) na Rua ....., n.º ....., Bairro ....., Cidade ....., Estado ....., pelos motivos defato e de direito a seguir aduzidos. DOS FATOS A Requerente é casada com o Requerido desde .... de .... de ...., como se comprova com a inclusa certidão de casamento lavrado sob nº ...., às fls. .... do livro nº ...., do Cartório de Registro Civil de Pessoas Naturais e Anexos de .../... O casal possui dois filhos: 1º .... (qualificação), nascida aos .../.../...; 2º .... (qualificação), nascida aos .../.../...; ambas nascidas na Cidade de .../... (doc. incluso). Durante a constância da união, o casal adquiriu os seguintes bens: A) Um veículo ...., de cor ...., ano de fabricação ...., .... portas, placas .... - Cidade de ....; B) Uma motocicleta tipo ...., de cor ...., ano de fabricação ...., placas ....; C) Um terreno urbano medindo .... x .... metros, localizado na Cidade de .../..., na Rua ...., entre as Ruas .... e .....; D) Direitos sobre uma linha telefônica - .... - sob nº ....; E) Diversos móveis que guarnecem a residência do casal, relacionados abaixo, divididos por cômodos: Sala: .... televisão colorida ....; . ... vídeo-cassete ....; .... aparelho de som; .... jogo de sofá de .... e .... lugares; .... estante de madeira cerejeira; Quarto do casal: .... cama de casal; .... penteadeira; .... guarda-roupas; .... criados-mudos; .... ventilador de teto; .... aparelho de ar condicionado; .... televisão colorida; Quarto de Solteiro: .... cama de solteiro c/ colchão; .... cômoda com gavetas de madeira; Cozinha: .... forno de micro-ondas; .... geladeira duplex; .... fogão de .... bocas; .... mesa de madeira c/ .... cadeiras; .... armário de madeira com .... portas e .... gavetas; diversos utensílios de cozinha entre pratos, talheres, panelas; Área: .... mesa de madeira. F) Saldo em conta corrente e poupança junto ao Banco .... - agência de .../... Todos os documentos relativos aos bens encontram-se de posse do Requerido, que nega-se a fornecê-los para maior identificação. O casal iniciou por se desentender e alguns fatos culminaram com o rompimento definitivo. Outros fatores que levam pela impossibilidade de reconciliação do casal serão trazidos à lume, por ocasião do ajuizamento da ação principal a ser proposta (Ação de Separação Judicial Litigiosa). Que sendo a Requerente meeira dos referidos bens e temendo quanto ao prometido pelo Requerido, em colocar fim aos bens, alienando-os e dissipando o saldo bancário, com o intuito preconcebido de prejudicar a Requerente, pretende o arrolamento dos bens relacionados. DO DIREITO As provas trazidas à Vossa Excelência, juntamente com o pedido, consistente no fato de ser casada com o Requerido e com ele possuir filhos e ter constituído patrimônio, é, em si, suficiente para a concessão da medida de arrolamento requerida, eis que, presente o "fumus boni iuris". E, o fato de o Requerido ter dado mostras de seu intento de dissipação dos bens, caracterizam, com facilidade, o "periculum in mora", de sorte que a medida pleiteada almeja urgência na sua concessão "inaudita altera pars". Segundo Pinto Ferreira (Medidas Cautelares - 4ª Ed. Forense - 1992 - pág. 89): "O arrolamento e descrição dos bens é uma medida cautelar que pode ser requerida sempre que houver fundado receio de extravio ou dissipação de bens. (...). Essa ação cautelar procede da necessidade que se tem de evitar que o cônjuge na administração dos bens do casal, causa danos, dissipando o patrimônio ou forjicando dívidas." O Código de Processo Civil anotado por Alexandre de Paula, Vol. III, Ed. RT, 1993, pág. 3.267, traz que a jurisprudência pátria é remansosa e pacífica ao tratar do tema, quando esclarece que: "Só se exige para a ação cautelar de arr</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2026-10-26T05:01:23.423Z</dcterms:created>
  <dcterms:modified xsi:type="dcterms:W3CDTF">2026-10-26T05:01:23.423Z</dcterms:modified>
</cp:coreProperties>
</file>

<file path=docProps/custom.xml><?xml version="1.0" encoding="utf-8"?>
<Properties xmlns="http://schemas.openxmlformats.org/officeDocument/2006/custom-properties" xmlns:vt="http://schemas.openxmlformats.org/officeDocument/2006/docPropsVTypes"/>
</file>