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MEDIDA CAUT DE ARROLAMENTO DE BENS</w:t>
      </w:r>
    </w:p>
    <w:p/>
    <w:p>
      <w:r>
        <w:rPr>
          <w:b/>
          <w:bCs/>
        </w:rPr>
        <w:t xml:space="preserve">Recurso: </w:t>
      </w:r>
      <w:r>
        <w:t xml:space="preserve">re ...</w:t>
      </w:r>
    </w:p>
    <w:p/>
    <w:p>
      <w:r>
        <w:t xml:space="preserve">PEDIDO DE RECONHECIMENTO E DISSOLUÇÃO DE UNIÃO ESTÁVEL, CUMULADA COM PARTILHA DE BENS</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RECONHECIMENTO E DISSOLUÇÃO DE SOCIEDADE DE FATO CUMULADA COM PARTILHA DE BENS em face de ....., brasileiro (a), (estado civil), profissional da área de ....., portador (a) do CIRG n.º ..... e do CPF n.º ....., residente e domiciliado (a) na Rua ....., n.º ....., Bairro ....., Cidade ....., Estado ....., pelos motivos de fato e de direito a seguir aduzidos. DOS FATOS Em ...., concomitantemente à conclusão de sua graduação como professora de ...., obtido junto à .... (doc. Incluso), a autora conheceu o réu, professor daquele estabelecimento de ensino. Teve início um namoro que durou cerca de .... anos, findo os quais, na presença de várias pessoas, os litigantes formalizaram o noivado, inclusive com a colocação de alianças. Em .... resolveram estabelecer vida em comum, como marido e mulher. Em face desta vontade, e estando o réu promovendo a sua separação judicial na Comarca de ...., decidiram, até que pudessem casar, pela elaboração de um documento que denominaram de "CONTRATO DE COMUM CONVIVÊNCIA POR INSTRUMENTO PARTICULAR". (doc. Incluso) Através do dito contrato, devidamente assinado pelos interessados, na presença de duas testemunhas, o réu comprometia-se a conviver no mesmo lar com a autora na condição já declinada de "marido e mulher", dispensando-lhe todas atenções e cuidados necessários, a provar os meios d e subsistência do casal (...), legitimar, criar, educar e prover todos os meios de subsistência de possíveis filhos do casal ou adotivos (...), a prover os meios de subsistência da outorgante e dos filhos do casal (...) no caso de rompimento de relação e consequentemente a Separação do casal, caso o mesmo provoque este rompimento (...); A outorgante se obriga a cuidar do lar conjugal do casal, dispensando ao outorgante as atenções e cuidados necessários, bem como, a proceder sempre com dignidade e manter a fidelidade no caráter de esposa para com o mesmo. (...) A outorgante se compromete a dispender todos os cuidados e atenções a possíveis filhos do casal ou adotivos, obrigando-se a colaborar com o outorgante no sentido de dar educação e assistência devida (...). Os outorgantes se comprometem e solenimente declaram, dispensarem-se mutuamente, todas as atenções e desvê-lo que existem entre marido e mulher ... (sic). No que tange à formação de um futuro patrimônio, decidiram os consortes, através da cláusula .... do mesmo documento que: "os outorgantes acordam entre si que todos e quaisquer bens imóveis adquiridos pelos mesmos posterior à celebração do presente contrato, será de propriedade mútua." (sic) Despiciendo dizer, desde logo, que o réu, por razões inconfessáveis, nunca mais voltou ao assunto do casamento, em que pese haver prometido, inclusive para os pais da autora, que com ela casaria, tão logo homologada a sua separação judicial. O réu violentou-se a si próprio neste aspecto, porque de formação religiosa católica, conforme se infere pela foto anexa, quando o casal freqüentou curso de casais, sempre postergou a oficialização da união com a mulher. Daí para frente passaram a viver realmente como marido e mulher. Em todos os ambientes sociais que freqüentavam, compatíveis com o "status" de .... que ostentava o réu. A autora sempre foi apresentada como esposa legítima, nunca como concubina ou companheira, seja na sociedade, seja no círculo d e amizade, seja no dentista, na padaria, na farmácia (onde tinham conta-corrente), etc. ... Não foram raras as vezes, no curso de .... anos de convívio marital, que participaram de festas íntimas com amigos, tipo jantares, aniversários, casamentos, etc. Adiante, quando da existência do primeiro local de trabalho inaugurado pelo réu, os funcionários reconheciam a autora como a esposa legítima daquele, duvidando-se que alguém tenha conhecimento que não fossem legalmente casados. A situação financeira do réu, ao conhecer a autora, era, senão precária, parcimoniosa.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2026-09-11T00:12:57.806Z</dcterms:created>
  <dcterms:modified xsi:type="dcterms:W3CDTF">2026-09-11T00:12:57.806Z</dcterms:modified>
</cp:coreProperties>
</file>

<file path=docProps/custom.xml><?xml version="1.0" encoding="utf-8"?>
<Properties xmlns="http://schemas.openxmlformats.org/officeDocument/2006/custom-properties" xmlns:vt="http://schemas.openxmlformats.org/officeDocument/2006/docPropsVTypes"/>
</file>