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INCOMPATIBILIDADE DE GÊNIO</w:t>
      </w:r>
    </w:p>
    <w:p/>
    <w:p/>
    <w:p>
      <w:r>
        <w:t xml:space="preserve">PEDIDO DE TUTELA POR PARTE DE IRMÃ DA MENOR, QUE JÁ SE ENCONTRA SOB SUA GUARDA PROVISÓRIA</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requerer PEDIDO DE TUTELA em favor de ....., brasileiro (a), menor impúbere, residente e domiciliada com a requerente, sob sua guarda provisória, pelos motivos de fato e de direito a seguir aduzidos. DOS FATOS Em ...., faleceu, na Cidade de ...., o Sr. ...., que foi casado em primeiras núpcias com ...., que falecera em .... O "de cujus" deixou os seguintes filhos: - A Requerente, já qualificada; - .... (qualificação), residente e domiciliado na Comarca de ...., e a menor - ...., nascida em ...., que se encontra sob a guarda de fato da Requerente desde o falecimento da mãe de ambas, Sra. ...., em .... A Requerente está casada pelo regime de Comunhão Universal de Bens com .... (qualificação), residindo em casa própria, sita na Rua .... nº ...., na Comarca de ...., onde se encontra a menor .... e onde permanecerá sendo-lhe deferida a tutela. O "de cujus" não deixou testamento, nem tutor designado para a menor .... DO DIREITO A presente ação funda-se no disposto no art. 1731, II C.C., uma vez qua a menor está sob a guarda provisória de sua irmã, ora Requerente. Junta a presente comprovantes de idoneidade moral e econômica e comprovante de propriedade do imóvel onde residem. Enfim, o presente pedido encontra fulcro no que dispõem os art. 1728 e 1732 do Código Civil Brasileiro e art. 36 do Estatuto da Criança e do Ad olescente. DOS PEDIDOS Assim, face ao exposto e com base na legislação citada, REQUER à V. Exa., depois de ouvido o douto representante do Ministério Público, seja deferida a tutela pleiteada para que legalmente possa guardar e proteger os interesses da menor. O pai da menor, ...., vivia na Comarca de ...., em segunda núpcias, sendo que não foi possível, até o momento, apurar sobre a efetiva existência de bens. Considerando o presente fato, Requer também seja-lhe dispensada a especialização da hipoteca legal, nos termos do art. 37 do Estatuto da Criança e do Adolescente. Pretende provar o alegado por todos os meios de prova em direito permitidos.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2026-09-11T00:18:48.131Z</dcterms:created>
  <dcterms:modified xsi:type="dcterms:W3CDTF">2026-09-11T00:18:48.131Z</dcterms:modified>
</cp:coreProperties>
</file>

<file path=docProps/custom.xml><?xml version="1.0" encoding="utf-8"?>
<Properties xmlns="http://schemas.openxmlformats.org/officeDocument/2006/custom-properties" xmlns:vt="http://schemas.openxmlformats.org/officeDocument/2006/docPropsVTypes"/>
</file>