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EMBARGOS INFRINGENTES INTERPOSTOS PELO ALIMENTANTE, SOB ALEGAÇÃO DE IMPOSSIBILIDADE DE PRESTAÇÃO ALIMENTÍCIA FIXADA EM ACÓRDÃO COM VOTOS DIVERGENTES</w:t>
      </w:r>
    </w:p>
    <w:p/>
    <w:p>
      <w:pPr>
        <w:pStyle w:val="Heading2"/>
      </w:pPr>
      <w:r>
        <w:rPr>
          <w:b/>
          <w:bCs/>
        </w:rPr>
        <w:t xml:space="preserve">Ementa</w:t>
      </w:r>
    </w:p>
    <w:p>
      <w:r>
        <w:t xml:space="preserve">EXMO. SR. DR. RELATOR ......, DOS AUTOS Nº ....., DO EGRÉGIO TRIBUNAL DE JUSTIÇA DO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interpor EMBARGOS INFRINGENTES com esteio nos Arts. 530 usque 534 do CPC, na conformidade das razões alinhadas em petição a parte. Assim, processado o presente recurso, requer-se a apreciação do mesmo. RAZÕES DE RECURSO Colendo grupo de Câmaras Cíveis Preclaros Magistrados DOS FATOS A Requerente-recorrida, por sua genitora, em ...., aforou pedido de alimentos, alegando que o recorrente, a seu turno, não estava honrando com o seu dever de pai; que, assim sendo, se estava a pleitear alimentos, mormente porque, segundo disse, o suplicado recorrente tinha capacidade financeira para arcar com os profissionais em .... pisos salariais; Ao despachar, o MM. juiz monocrático houve por bem em fixar os alimentos em .... pisos salariais; Citado, o Recorrente, a par da Lei, justificou a impossibilidade do pagamento (fls. ....); Em ...., em audiência apresentou-se defesa por escrito, e farta de documentação, não tendo se chegado a um eventual acordo; Na peça de defesa, argüiu-se que o pedido formulado, ainda que previsto em Lei, era despiciendo, haja vista que o Contestante-recorrente sempre honrou com o seu dever de pai; Tanto é assim que somente após a Requerente completar .... anos, é que a sua genitora tomou providências para aforar pedido de alimentos em prol da Recorrida; Sublinhe-se que a genitora, por motivos que re fogem ao âmbito da presente causa, estava a querer prejudicar o Contestante, conquanto, até então era um bom pai, e isso por longos .... anos. Ainda, que o dever de assistir, criar e educar era responsabilidade de ambos os genitores, consoante preceitua o art. 229 da Carta Magna: Demais, que a proposição lançada de que o Recorrente gozava de padrão de vida elevado não passava de fantasia processada acintosamente na cabeça da genitora da Recorrida, eis que Corretor de Imóveis autônomo, e dependendo eminentemente da mercadologia, da oferta e da procura; Que o fato de estar jungido ao feito cópia de coluna imobiliária, não representava que fosse ganho garantido, porquanto é sabido que a profissão de Corretor de Imóveis é exercida mediante Contrato de Risco - Comissão; em vendendo, tem-se resultado; do contrário, contabiliza-se prejuízos, os quais são inerentes, como dito, à profissão: Tal colocação encontra-se sedimentada em nossos areópagos, quando de julgamento de demandas acerca de comissão, se devida ou não; Afora isso, o contestante é pai de mais quatro filhos, os quais levam o mesmo padrão de vida da Requerente, isto é, simples; porém, fazendo o Contestante o máximo possível para melhorar, o que é normal; Quanto ao lastro patrimonial, desfez-se a argüição da genitora da Requerente: Todos os seus filhos estudam em Escola Pública (fls. .... usque ...); É corretor de Imóveis autônomo, e não tem renda fixa, como dantes alinhado (fls. ....); E, por ser membro das diretorias do .... e do ...., em nada resulta proveito pecuniário, eis que nada é remunerado, a qualquer título, (exceto jetons pagos por ocasião de Reuniões ocorridas na .... e a cada .... meses - Vide Documento anexo), quem exerce (cargo) é porque tem amor a profissão, não mais. Acerca, veja-se memorial de fls. .... usque .... - precipuamente às fls. .... Não possui mais .... imóveis e sim apenas .... - o situado no .....- conforme atesta o documento de fls. ...., Quanto ao veículo referenciado nos autos, diga-se, agora, o mesmo fora alienado justamente para fazer frente às despesas vencidas (anotando-se que dito veículo foi adquirido de terceiro e via Consórcio - fls. ....), obrigando-o a ter um mais antigo assaz necessário ao desempenho da profissão; Em desuno, o parquet opinou pela fixação de ..... salários mínimos (fls. ....), e, às fls. ...., o meritíssimo juiz singular houve por bem fixar alimentos no patamar entendido pelo Representante do Ministério Público; DO DIREITO Ante o improvimento do recurso interposto, por maioria de votos, resta-lhe exercer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2026-06-17T14:04:49.780Z</dcterms:created>
  <dcterms:modified xsi:type="dcterms:W3CDTF">2026-06-17T14:04:49.780Z</dcterms:modified>
</cp:coreProperties>
</file>

<file path=docProps/custom.xml><?xml version="1.0" encoding="utf-8"?>
<Properties xmlns="http://schemas.openxmlformats.org/officeDocument/2006/custom-properties" xmlns:vt="http://schemas.openxmlformats.org/officeDocument/2006/docPropsVTypes"/>
</file>