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EMBARGOS INFRINGENTES INTERPOSTOS PELO ALIMENTANTE, SOB ALEGAÇÃO DE IMPOSSIBILIDADE DE PRESTAÇÃO ALIMENTÍCIA FIXADA EM ACÓRDÃO COM VOTOS DIVERGENTES</w:t>
      </w:r>
    </w:p>
    <w:p/>
    <w:p>
      <w:pPr>
        <w:pStyle w:val="Heading2"/>
      </w:pPr>
      <w:r>
        <w:rPr>
          <w:b/>
          <w:bCs/>
        </w:rPr>
        <w:t xml:space="preserve">Ementa</w:t>
      </w:r>
    </w:p>
    <w:p>
      <w:r>
        <w:t xml:space="preserve">EXMO. SR. DR. RELATOR ......, DOS AUTOS Nº ....., DO EGRÉGIO TRIBUNAL DE JUSTIÇA DO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interpor EMBARGOS INFRINGENTES com esteio nos Arts. 530 usque 534 do CPC, na conformidade das razões alinhadas em petição a parte. Assim, processado o presente recurso, requer-se a apreciação do mesmo. RAZÕES DE RECURSO Colendo grupo de Câmaras Cíveis Preclaros Magistrados DOS FATOS A Requerente-recorrida, por sua genitora, em ...., aforou pedido de alimentos, alegando que o recorrente, a seu turno, não estava honrando com o seu dever de pai; que, assim sendo, se estava a pleitear alimentos, mormente porque, segundo disse, o suplicado recorrente tinha capacidade financeira para arcar com os profissionais em .... pisos salariais; Ao despachar, o MM. juiz monocrático houve por bem em fixar os alimentos em .... pisos salariais; Citado, o Recorrente, a par da Lei, justificou a impossibilidade do pagamento (fls. ....); Em ...., em audiência apresentou-se defesa por escrito, e farta de documentação, não tendo se chegado a um eventual acordo; Na peça de defesa, argüiu-se que o pedido formulado, ainda que previsto em Lei, era despiciendo, haja vista que o Contestante-recorrente sempre honrou com o seu dever de pai; Tanto é assim que somente após a Requerente completar .... anos, é que a sua genitora tomou providências para aforar pedido de alimentos em prol da Recorrida; Sublinhe-se que a genitora, por motivos que re fogem ao âmbito da presente causa, estava a querer prejudicar o Contestante, conquanto, até então era um bom pai, e isso por longos .... anos. Ainda, que o dever de assistir, criar e educar era responsabilidade de ambos os genitores, consoante preceitua o art. 229 da Carta Magna: Demais, que a proposição lançada de que o Recorrente gozava de padrão de vida elevado não passava de fantasia processada acintosamente na cabeça da genitora da Recorrida, eis que Corretor de Imóveis autônomo, e dependendo eminentemente da mercadologia, da oferta e da procura; Que o fato de estar jungido ao feito cópia de coluna imobiliária, não representava que fosse ganho garantido, porquanto é sabido que a profissão de Corretor de Imóveis é exercida mediante Contrato de Risco - Comissão; em vendendo, tem-se resultado; do contrário, contabiliza-se prejuízos, os quais são inerentes, como dito, à profissão: Tal colocação encontra-se sedimentada em nossos areópagos, quando de julgamento de demandas acerca de comissão, se devida ou não; Afora isso, o contestante é pai de mais quatro filhos, os quais levam o mesmo padrão de vida da Requerente, isto é, simples; porém, fazendo o Contestante o máximo possível para melhorar, o que é normal; Quanto ao lastro patrimonial, desfez-se a argüição da genitora da Requerente: Todos os seus filhos estudam em Escola Pública (fls. .... usque ...); É corretor de Imóveis autônomo, e não tem renda fixa, como dantes alinhado (fls. ....); E, por ser membro das diretorias do .... e do ...., em nada resulta proveito pecuniário, eis que nada é remunerado, a qualquer título, (exceto jetons pagos por ocasião de Reuniões ocorridas na .... e a cada .... meses - Vide Documento anexo), quem exerce (cargo) é porque tem amor a profissão, não mais. Acerca, veja-se memorial de fls. .... usque .... - precipuamente às fls. .... Não possui mais .... imóveis e sim apenas .... - o situado no .....- conforme atesta o documento de fls. ...., Quanto ao veículo referenciado nos autos, diga-se, agora, o mesmo fora alienado justamente para fazer frente às despesas vencidas (anotando-se que dito veículo foi adquirido de terceiro e via Consórcio - fls. ....), obrigando-o a ter um mais antigo assaz necessário ao desempenho da profissão; Em desuno, o parquet opinou pela fixação de ..... salários mínimos (fls. ....), e, às fls. ...., o meritíssimo juiz singular houve por bem fixar alimentos no patamar entendido pelo Representante do Ministério Público; DO DIREITO Ante o improvimento do recurso interposto, por maioria de votos, resta-lhe exercer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2026-10-26T02:14:26.910Z</dcterms:created>
  <dcterms:modified xsi:type="dcterms:W3CDTF">2026-10-26T02:14:26.910Z</dcterms:modified>
</cp:coreProperties>
</file>

<file path=docProps/custom.xml><?xml version="1.0" encoding="utf-8"?>
<Properties xmlns="http://schemas.openxmlformats.org/officeDocument/2006/custom-properties" xmlns:vt="http://schemas.openxmlformats.org/officeDocument/2006/docPropsVTypes"/>
</file>