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SEPARAÇÃO JUDICIAL</w:t>
      </w:r>
    </w:p>
    <w:p>
      <w:r>
        <w:rPr>
          <w:i/>
          <w:iCs/>
          <w:color w:val="666666"/>
        </w:rPr>
        <w:t xml:space="preserve">INCOMPATIBILIDADE DE GÊNIO</w:t>
      </w:r>
    </w:p>
    <w:p/>
    <w:p/>
    <w:p>
      <w:r>
        <w:t xml:space="preserve">MEDIDA CAUTELAR DE ARROLAMENTO DE BENS, ANTE A POSSIBILIDADE DE DISSIPAÇÃO DO PATRIMÔNIO, FACE À DISSOLUÇÃO DE SOCIEDADE CONJUGAL</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MEDIDA CAUTELAR DE ARROLAMENTO DE BENS (PREPARATÓRIA) em face de ....., brasileiro (a), (estado civil), profissional da área de ....., portador (a) do CIRG n.º ..... e do CPF n.º ....., residente e domiciliado (a) na Rua ....., n.º ....., Bairro ....., Cidade ....., Estado ....., pelos motivos de fato e de direito a seguir aduzidos. DOS FATOS A Requerente conviveu com o Requerido desde .... de .... até meados de ...., conforme se infere pelo Contrato de Comum Convivência por Instrumento Particular, anexo, por ambos assinado, na presença de duas testemunhas. Decorrente desta união, nasceram .... filhos, .... e ...., presentemente com .... e .... anos, respectivamente, conforme deflui das certidões anexas. Em meados de ...., por razões de absoluta incompatibilidade entre os parceiros, a Requerente decidiu abandonar o teto comum, passando a residir na casa de sua mãe. Incontinente e de forma consensual, o casal promoveu uma Ação de Alimentos, Guarda e Regulamentação de Visitas, feito que foi autuado e julgado pela ....ª Vara de Família da Comarca de .... sob o nº .... Após a separação, o Requerido passou a tomar atitudes estranhas em relação ao patrimônio, que sabe não ser apenas seu, haja vista que, em ação trabalhista intentada contra o ...., na Comarca de ...., do qual é sócio majoritário, já consta penhora sobre o imóvel adq uirido com o esforço da Requerente, conforme averbação da penhora à margem da matrícula nº ...., anexa. Temerosa de que o Requerido venha a desfazer-se de tudo o que possui, busca a Requerente, na tutela jurisdicional preventiva, o amparo cautelar que necessita para, tempestivamente, pleitear o seu direito patrimonial decorrente da dissolução da sociedade. DO DIREITO Inobstante o reconhecimento do direito do concubinato plasmado nas sociedades de fato, ao estilo do hodierno Direito Brasileiro, traz a Requerente a estes Autos o documento firmado por ela e pelo Requerido ao que chamaram de "Contrato de Comum Convivência por Instrumento Particular", que estampa, entre outras avenças, aquela que passaria a regular o destino do patrimônio adquirido na constância da convivência "more uxório". Sem embargo, a cláusula ....ª do nominado instrumento estabelece: "Os outorgantes acordam entre si que todos e quaisquer bens móveis ou imóveis adquiridos pelos mesmos posterior à celebração do presente Contrato, será de propriedade mútua." Caracteriza-se, assim, a "prima facie", um dos requisitos essenciais para o presente pleito cautelar, o "fummus boni iuris", sempre referido pelos melhores doutrinadores pátrios. O "periculum in mora" está desvelado na conduta do Requerido à medida em que, já nomeia ele bens à penhora alheios à sociedade comercial da qual participa, sendo imprevisível o que ainda fará ou que já tenha feito sem o conhecimento da Requerente. É iminente a dissipação dos bens amealhados pelo casal, lesão irreparável que poderá ser evitada através da cautela que ora pleiteia a Requerente, arrimando-se, para tanto, no dispositivo processual que faculta ao Magistrado "inaudita altera pars" tornar indisponíveis os bens comuns, conforme se lê no texto legal adjetivo antes mencionado. "Art. 804. É lícito ao juiz conceder liminarmente ou após justificação prévia a medida cautelar, sem ouvir o réu, quando verificar que este, sendo citado, pod erá torná-la ineficaz, caso em que poderá determinar que o requerente preste caução real ou fidejussória de ressarcir os danos que o requerido possa vir a sofrer." DOS PEDIDOS Em face do expendido, requer a Vossa Excelência que se digne: a) deferir, liminarmente, o presente pedido de Arrolamento dos bens constantes da relação anexa e de outros que forem localizados em nome do requerido, "inaudita altera pars", independentemente de caução, nomeando o requerido como depositário de tais bens; b) expedir ofício à TELEPAR e ao DETRAN, no sentido de que aqueles órgãos informem da exis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2026-09-10T23:13:33.227Z</dcterms:created>
  <dcterms:modified xsi:type="dcterms:W3CDTF">2026-09-10T23:13:33.227Z</dcterms:modified>
</cp:coreProperties>
</file>

<file path=docProps/custom.xml><?xml version="1.0" encoding="utf-8"?>
<Properties xmlns="http://schemas.openxmlformats.org/officeDocument/2006/custom-properties" xmlns:vt="http://schemas.openxmlformats.org/officeDocument/2006/docPropsVTypes"/>
</file>