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FAMÍLIA</w:t>
      </w:r>
    </w:p>
    <w:p>
      <w:r>
        <w:rPr>
          <w:i/>
          <w:iCs/>
          <w:color w:val="666666"/>
        </w:rPr>
        <w:t xml:space="preserve">MODIFICAÇÃO DE CLÁUSULA ALIMENTAR</w:t>
      </w:r>
    </w:p>
    <w:p/>
    <w:p/>
    <w:p>
      <w:r>
        <w:t xml:space="preserve">data
...
Advogado
OAB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 VARA DE FAMÍLIA DA COMARCA DE ..... - ESTADO DO .......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propor REGULAMENTAÇÃO DO DlRElTO DE VISITA em face de ....., brasileiro (a), (estado civil), profissional da área de ....., portador (a) do CIRG n.º ..... e do CPF n.º ....., residente e domiciliado (a) na Rua ....., n.º ....., Bairro ....., Cidade ....., Estado ....., pelos motivos de fato e de direito a seguir aduzidos. DOS FATOS O requerente é pai da menor ......., que atualmente está sob a guarda e responsabilidade de sua mãe ........., e para evitar qualquer atrito ou desgaste emocional entre os pais da menina, ajuíza a presente, pois a requerida tem impedido o autor de visitar a sua filha. DO DIREITO Ressalte-se da necessidade do contato e a convivência entre pais e filhos, pois assim a criança poderá crescer cercada de muito amor, carinho e afeto, tendo um bom desenvolvimento físico e psicológico. Lembrando que os pais da menor não estão mais vivendo juntos, portanto imprescindível que o requerente tenha contato com a filha, sob pena de virem a ter conflitos futuramente, pela falta de convivência. Assim o requerente pleiteia o direito de visita da seguinte forma: A) ........, ....... e ...... - das ..... as ..... hs, com direito de levar a menor para passear. B) Final de semana alternando ora um Sábado ora um Domingo - das ...... as .... hs, com direito a levar a menor para passear. C) Direito de ficar com a menor durante as férias do requerente, pois o autor trabalha e a criança ainda não está na escola, por ..... dias seguidos. D) Aniversário do pai da menor - dia .../... e dia dos pais das .... hs as .... hs. As tentativas amigáveis restaram infrutíferas, razão pela qual busca-se a Tutela Jurisdicional do Estado através da presente. DOS PEDIDOS Isto posto, REQUER: 1. a concessão liminar do direito de visitas ao requerente nos moldes acima, e após transformada em definitivo por sentença; 2. Citação da mãe da menor para apresentar defesa se entender necessário; 3. Produção de todas as provas em direito admitidas, tais como: oitiva de testemunhas, juntada de documentos, perícia, depoimento pessoal da ré, dentre outras que se fizerem necessárias; 4. Concessão do benefício da Justiça gratuita pois o autor é pessoa pobre no sentido jurídico do termo, e encontra-se desempregado, conforme documentos em anexo; 5. Pela procedência total dos pedidos supra expostos. Dá-se à causa o valor de R$ .... Nesses Termos, Pede Deferimento. Local e data ... Advogado OAB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2026-10-26T04:13:38.367Z</dcterms:created>
  <dcterms:modified xsi:type="dcterms:W3CDTF">2026-10-26T04:13:38.367Z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