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ICMS</w:t>
      </w:r>
    </w:p>
    <w:p>
      <w:r>
        <w:rPr>
          <w:i/>
          <w:iCs/>
          <w:color w:val="666666"/>
        </w:rPr>
        <w:t xml:space="preserve">PROVEDOR DE ACESSO A INTERNET</w:t>
      </w:r>
    </w:p>
    <w:p/>
    <w:p>
      <w:r>
        <w:rPr>
          <w:b/>
          <w:bCs/>
        </w:rPr>
        <w:t xml:space="preserve">Recurso: </w:t>
      </w:r>
      <w:r>
        <w:t xml:space="preserve">REsp 163549/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FRANCIULLI NETTO</w:t>
      </w:r>
    </w:p>
    <w:p/>
    <w:p>
      <w:r>
        <w:t xml:space="preserve">OBSERVÂNCIA A PROCEDIMENTOS ESSENCIAIS À CONSTRIÇÃO EXCEPCIONAL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Proclama a recorrente pela inadmissibilidade de constrição do seu faturamento. - Tal procedimento, além de não proporcionar, objetivamente, a especificação do produto da penhora, poderá ensejar deletérias conseqüências no âmbito financeiro da empresa, conduzindo-a, compulsoriamente, ao estado de insolvência, em prejuízo não só de seus sócios, como também, e precipuamente, dos trabalhadores e de suas famílias, que dela dependem para sobreviver. - No trato de questão análoga assim me pronunciei ao relatar o REsp nº 163549/RS, onde fui voto-vencido: "Ao compulsar os autos, constata-se que o Fisco solicitou que a penhora recaísse sobre porcentagem (30%) do faturamento da empresa, porque ela ofereceu bens integrantes de seu ativo estático (instalação de rede elétrica com cabos, eletrodutos, etc.; prensas, calculadoras, máquinas datilográficas; e outros equipamentos) que, pelas suas condições de func ionamento, conservação e tecnologia, são de difícil liquidação, além de já terem sido ofertados à penhora em ações ajuizadas pela União Federal e INSS (fls. - declaração da própria recorrida). Pleiteia, pois, o recorrente, que seja obedecida a ordem preferencial de penhora consagrada no art. 11, da Lei 6.830/80 (LEF), devendo recair, portanto, primeiramente a incidência da penhora sobre "dinheiro", ainda que futuro (faturamento da empresa). A controvérsia em questão é de fácil deslinde, já que o entendimento desta Corte já se encontra pacificado e é reiterada a jurisprudência no sentido de que o devedor, ao oferecer bens à penhora, deve obedecer a ordem estabelecida pelo art. 11, da Lei 6.830/80, sendo admitida a penhora sobre o faturamento da executada. Confira-se: 'EXECUÇÃO FISCAL. SUBSTITUIÇÃO DE BEM PENHORADO. LEI 6.830/80, ARTS. 11 E 15, II. 1. Não obedecida a ordem legal estabelecida para a penhora, pode o devedor requerer a substituição dos bens oferecidos. 2. A jurisprudência tem admitido a penhora do faturamento diário da devedora executada. 3. Precedentes jurisprudenciais. 4. Recurso provido.' (REsp 105.247/SP, Rel. Min. Milton L. Pereira, unânime, DJU 15/12/97). 'PROCESSUAL CIVIL. PENHORA EM DINHEIRO (5% DO FATURAMENTO MENSAL). LEI 6.830/80 (ARTS. 11 E 15, II). 1. Desatendida a ordem legal estabelecida para a penhora, o devedor pode requerer a substituição do bem oferecido. Acentua-se o exercício desse direito diante de leilões sem licitantes, demonstrando que a insistência acrescentará gastos, com prejuízo às partes. Não apontados voluntariamente pelo devedor, nem demonstrada a existência de outros, consideradas as peculiaridades do caso concreto, acolhe-se o pedido do credor para a penhora de percentual (5%) sobre o faturamento mensal. 2. Precedentes jurisprudenciais. 3. Recurso improvido.' (REsp 89.694/SP, Rel. Min. Milton L. Pereira, unânime, DJU 22/04/97). A substituição requerida é, portanto , legítima, já que a ordem estabelecida pela Lei de Execuções Fiscais (art. 11) não foi cumprida e ao credor é possibilitado, em qualquer fase do processo, requerer a substituição, nos moldes estabelecidos pelo art. 15, II, da LEF. Face ao exposto, dou provimento ao recurso". - Naquela ocasião, assim se pronunciou o em Min. Garcia Vieira, tendo sido designado para a lavratura do acórdão: "Peço vênia ao eminente Ministro José Delgado para divergir de S. Exª. Inicialmente, esta Turma entendeu que poderia penhorar 30% do rendimento da empresa, mas, depois, a Turma e a própria Seção mudaram a orientação e não permitem mais a penhora do rendimento da empresa, porque isso equivale a penhorar a própria empresa. Nesse caso, teríamos que nomear um administrador e fazer um plano de administração da empresa. É nesse sentido que temos votado nesta Turma. Fui vencido inicialmente e depois tive que reformular o voto. Se houver penhora do faturamento ou do rendimento, a empresa pode ficar inviável. Nego provimento ao recurso". - No intuito de demonstrar, de maneira cristalina, os fundamentos acima delineados, transcrevo recentes e clássicos prece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mais atualizada desta Casa vem se firmando no sentido de restringir a penhora sobre o faturamento da empresa, podendo, no entanto, esta ser efetivada, unicamente quando observados, impreterivelmente, os seguintes procedimentos essenciais, sob pena de frustrar a pretensão constritiva: - a verificação de que, no caso concreto, a medida é inevitável, de caráter excepcional; - a inexistência de outros bens a serem penhorados ou, de alguma forma, frustrada a tentativa de haver o valor devido na execução; - o esgotamento de todos os esforços na localização de bens, direitos ou valores, livres e desembaraçados, que possam garantir a execução, ou sejam os indicados de difícil alienação; - a observância às disposições contidas nos arts. 677 e 678 do CPC (necessidade de ser nomeado administrador, com a devida apresentação da forma de administração e esquema de pagamento); - fixação de percentual que não inviabilize a atividade econômica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2026-10-26T04:41:47.647Z</dcterms:created>
  <dcterms:modified xsi:type="dcterms:W3CDTF">2026-10-26T04:41:47.647Z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