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Paulo Ventura</w:t>
      </w:r>
    </w:p>
    <w:p/>
    <w:p>
      <w:r>
        <w:t xml:space="preserve">126. EXECUÇÃO FISCAL — EXTINÇÃO DO PROCESSO - CRITÉRIO FUNDADO EM PEQUENO VALOR COBRADO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126 "Incabível a extinção da execução fiscal, de ofício ou a requerimento do devedor, em razão de critério fundado em pequeno valor cobrado". Referência: Súmula da Jurisprudência Predominante nº. 2006.146.00006 - Julgamento em 21/12/2006 - Relator: Desembargador Paulo Ventura. Votação unânime.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2026-10-26T03:09:43.552Z</dcterms:created>
  <dcterms:modified xsi:type="dcterms:W3CDTF">2026-10-26T03:09:43.552Z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