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Relator: </w:t>
      </w:r>
      <w:r>
        <w:t xml:space="preserve">Paulo Ventura</w:t>
      </w:r>
    </w:p>
    <w:p/>
    <w:p>
      <w:r>
        <w:t xml:space="preserve">126. EXECUÇÃO FISCAL — EXTINÇÃO DO PROCESSO - CRITÉRIO FUNDADO EM PEQUENO VALOR COBRADO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126 "Incabível a extinção da execução fiscal, de ofício ou a requerimento do devedor, em razão de critério fundado em pequeno valor cobrado". Referência: Súmula da Jurisprudência Predominante nº. 2006.146.00006 - Julgamento em 21/12/2006 - Relator: Desembargador Paulo Ventura. Votação unânime.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2026-07-28T02:31:00.086Z</dcterms:created>
  <dcterms:modified xsi:type="dcterms:W3CDTF">2026-07-28T02:31:00.086Z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