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Relator: </w:t>
      </w:r>
      <w:r>
        <w:t xml:space="preserve">Marcus Tullius Alves</w:t>
      </w:r>
    </w:p>
    <w:p/>
    <w:p>
      <w:r>
        <w:t xml:space="preserve">118. CITAÇÃO POSTAL — PESSOA JURÍDICA - VALIDADE DO 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118 "A citação postal comprovadamente entregue à pessoa física, bem assim na sede ou filial da pessoa jurídica, faz presumir o conhecimento e a validade do ato". Referência: Súmula da Jurisprudência Predominante nº 2006.146.00004 - Julgamento em 09/10/2006 - Votação: unânime - Relator: Desembargador Marcus Tullius Alves.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2026-10-26T02:24:46.326Z</dcterms:created>
  <dcterms:modified xsi:type="dcterms:W3CDTF">2026-10-26T02:24:46.326Z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