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Relator: </w:t>
      </w:r>
      <w:r>
        <w:t xml:space="preserve">Marcus Tullius Alves</w:t>
      </w:r>
    </w:p>
    <w:p/>
    <w:p>
      <w:r>
        <w:t xml:space="preserve">118. CITAÇÃO POSTAL — PESSOA JURÍDICA - VALIDADE DO ATO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118 "A citação postal comprovadamente entregue à pessoa física, bem assim na sede ou filial da pessoa jurídica, faz presumir o conhecimento e a validade do ato". Referência: Súmula da Jurisprudência Predominante nº 2006.146.00004 - Julgamento em 09/10/2006 - Votação: unânime - Relator: Desembargador Marcus Tullius Alves. EMENTÁRIO FORENSE. Fevereiro, 2007. Ano LIX. Nº 699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2026-07-28T03:10:33.329Z</dcterms:created>
  <dcterms:modified xsi:type="dcterms:W3CDTF">2026-07-28T03:10:33.329Z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