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CHAMAMENTO AO FEITO</w:t>
      </w:r>
    </w:p>
    <w:p/>
    <w:p>
      <w:r>
        <w:rPr>
          <w:b/>
          <w:bCs/>
        </w:rPr>
        <w:t xml:space="preserve">Relator: </w:t>
      </w:r>
      <w:r>
        <w:t xml:space="preserve">Marcus Tullius Alves</w:t>
      </w:r>
    </w:p>
    <w:p/>
    <w:p>
      <w:r>
        <w:t xml:space="preserve">114. LEGITIMIDADE PASSIVA — EM MANDADO DE SEGURANÇA - ENTE PÚBLICO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Nº 114 "Legitimado passivo do mandado de segurança é o ente público a que está vinculada a autoridade coatora". Referência: Súmula da Jurisprudência Predominante nº 2006.146.00004 - Julgamento em 09/10/2006. - Votação: por maioria - Relator: Desembargador Marcus Tullius Alves. EMENTÁRIO FORENSE. Fevereiro, 2007. Ano LIX. Nº 699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2026-06-17T16:28:51.571Z</dcterms:created>
  <dcterms:modified xsi:type="dcterms:W3CDTF">2026-06-17T16:28:51.571Z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