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CHAMAMENTO AO FEITO</w:t>
      </w:r>
    </w:p>
    <w:p/>
    <w:p>
      <w:r>
        <w:rPr>
          <w:b/>
          <w:bCs/>
        </w:rPr>
        <w:t xml:space="preserve">Recurso: </w:t>
      </w:r>
      <w:r>
        <w:t xml:space="preserve">AGRAVO DE INSTRUMENTO 28302/2005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001.2007 EMENTÁRIO DECISÃO MONOCRÁTICA Nº 1/2007 — ORGANIZADO PELA DIVISÃO DE DISPONIBILIZAÇÃO DO CONHECIMENTO - DIDCO (PALÁCIO DA JUSTIÇA - 8º A - S 804 - L I)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nº 1 - AÇÃO DE INDENIZAÇÃO / EXECUÇÃO POR TÍTULO EXTRAJUDICIAL Ementa nº 2 - CONDOMÍNIO / AÇÃO DE DIVISÃO Ementa nº 3 - CONTA CORRENTE BANCÁRIA / PRESTAÇÃO DE CONTAS Ementa nº 4 - CONTRATO DE LOCAÇÃO / PRORROGAÇÃO DO PRAZO Ementa nº 5 - EXECUÇÃO DE DÍVIDA DE ALIMENTOS / PARCELAMENTO DA DÍVIDA Ementa nº 6 - EXECUÇÃO POR TÍTULO EXTRAJUDICIAL / BEM DE FAMÍLIA Ementa nº 7 - MULTA DE TRÂNSITO / AUTO DE INFRAÇÃO Ementa nº 8 - PREVIDÊNCIA PRIVADA / RESGATE DAS CONTRIBUIÇÕES Ementa nº 9 - TAXA DE VIGILÂNCIA, CONTRÔLE E FISCALIZAÇÃO / FATO GERADOR NÃO CONSUMADO Ementa nº 10 - TRIÊNIOS / MUNICÍPIO DO RIO DE JANEIRO Ementa nº 11 - VARA EMPRESARIAL DE FALÊNCIA E CONCORDATA / REDISTRIBUIÇÃO Ementa nº 1 AÇÃO DE INDENIZAÇÃO - EXECUÇÃO POR TÍTULO EXTRAJUDICIAL - JULGAMENTO SIMULTÂNEO - DECISÕES DIVERGENTES - IMPOSSIBILIDADE JURÍDICA Processo Civil. Competência. Conexão. Ação de execução e ação de indenização. Cheque. Muito embora seja polêmica, no seio do Tribunal de Justiça do Estado do Rio de Janeiro a questão relativa à existência, ou não, de conexão entre ação de execução e ação de conhecimento em que se discute, direta ou indiretamente, a validade do título executivo, a mais recente orientação jurisprudencial do Superior Tribunal de Justiça indica que há possibilidade de reunião dos feitos para julgamento conjunto. Não se desconhece que, de acordo com o art. 105 do CPC, o que determina a necessidade de reunião de ações, a fim de que sejam decididas simultaneamente, não é a mera existência de ponto comum de fato, mas a possibilidade de serem proferidas decisões que se contradigam, inviabilizando as respectivas execuções. E na ação de execução não há lide ou sentença. Mas na hipótese dos autos existe efetiva probabilidade de decisões conflitantes porque se a ação indenizatória for julgada procedente, estar-se-á acolhendo a tese da agravada de que não emitiu o cheque, o que pode contrastar com eventual decisão de penhora ou, mesmo, de p raceamento de bens numa execução baseada em título nulo. Recurso provido. (AGRAVO DE INSTRUMENTO 28302/2005 - Reg. em 14/02/2006. CAPITAL - DÉCIMA OITAVA CÂMARA CÍVEL - Unânime. DES. MARCO ANTONIO IBRAHIM - Julg: 16/01/2006) Ementa nº 2 CONDOMÍNIO - AÇÃO DE DIVISÃO - PRETERIÇÃO DE CONDÔMINO - IMISSÃO DE POSSE IMPOSSIBILIDADE Divisão de Condomínio. Decisão que defere a imissão de posse em favor de um dos comunheiros. Ação de Divisão de Condomínio, pertencente 50% ao agravado e 25% ao agravante. Não chamamento ao processo da titular dos outros 25%. Deferimento de expedição de mandado de imissão na posse, em favor do autor. Objeção do réu que, só nesta fase compareceu ao processo, alegando nulidade. Provimento do recurso para sustar a imissão. (AGRAVO DE INSTRUMENTO 6723/2006 - Reg. em 30/05/2006. CAMPOS - SEGUNDA CÂMARA CÍVEL - Unânime. DES. LEILA MARIANO - Julg: 17/04/2006) Ementa nº 3 CONTA CORRENTE BANCÁRIA - PRESTAÇÃO DE CONTAS - OBRIGATORIEDADE - EXIBIÇÃO DE EXTRATO DE CONTA - IRRELEVÂNCIA - SÚMULA 259, DO S.T.J. Processual Civil. Ação de prestação de contas. Lançamento em conta-corrente. Dúvidas. Fornecimento de extratos. Independentemente do fornecimento de extratos de movimentação financeira em conta-corrente, remanesce o interesse processual do correntista para a ação de prestação de contas em havendo dúvida sobre os critérios considerados. Precedentes do STJ e do TJRJ. Súmula 259 do STJ. O envio periódico de extratos bancários referentes à movimentação da conta-corrente, não pode ser tido como prestação de contas, já que são tais documentos remetidos para o correntista para simples conferência, que não esclarecem os lançamentos deles constantes. Artigo 557 do CPC. Sentença que merece ser mantida pelos seus próprios fundamentos. Recurso a que se nega seguimento. (APELAÇÃO CÍVEL 2998/2006 - Reg. em 11/04/2006. PETRÓPOLIS - DÉCIMA SEXTA CÂMARA CÍVEL - Unânime. DES. SIRO DARLAN DE OLIVEIRA - Julg: 20/03/2006) Ementa nº 4 CONTR ATO DE LOCAÇÃO - PRORROGAÇÃO DO PRAZO - MULTA CONTRATUAL EXCESSO DE COBRANÇA - INOCORRÊNCIA Locação. Multa contratual. Art. 412 do CC. Inexistência de abusividade. Multa contratual devida por expressa previsão contratual. O prazo da locação foi de 12 meses e à época, isto é, em abril de 2001,o aluguel era de R$350,00. Ao locar, assumiu a obrigação de respeitar o contrato pelo prazo ajustado. Portanto, a obrigação principal para a Apelante consistia em pagar os 12 meses de aluguel. Após este prazo, sabidamente, o contrato se tornaria por tempo indeterminado. Desta forma,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2026-09-10T22:18:27.116Z</dcterms:created>
  <dcterms:modified xsi:type="dcterms:W3CDTF">2026-09-10T22:18:27.116Z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