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PÚBLICO</w:t>
      </w:r>
    </w:p>
    <w:p>
      <w:r>
        <w:rPr>
          <w:i/>
          <w:iCs/>
          <w:color w:val="666666"/>
        </w:rPr>
        <w:t xml:space="preserve">LEI 11.107 DE 06-04-2005</w:t>
      </w:r>
    </w:p>
    <w:p/>
    <w:p/>
    <w:p>
      <w:r>
        <w:t xml:space="preserve">03. SANEAMENTO BÁSICO — DIRETRIZES - ESTABELECE</w:t>
      </w:r>
    </w:p>
    <w:p/>
    <w:p>
      <w:pPr>
        <w:pStyle w:val="Heading2"/>
      </w:pPr>
      <w:r>
        <w:rPr>
          <w:b/>
          <w:bCs/>
        </w:rPr>
        <w:t xml:space="preserve">Ementa</w:t>
      </w:r>
    </w:p>
    <w:p>
      <w:r>
        <w:t xml:space="preserve">CAPÍTULO X DISPOSIÇÕES FINAIS Art. 54. (VETADO) Art. 55. O § 5º do art. 2º da Lei nº 6.766, de 19 de dezembro de 1979, passa a vigorar com a seguinte redação: "Art. 2º .................... .................................. § 5º A infra-estrutura básica dos parcelamentos é constituída pelos equipamentos urbanos de escoamento das águas pluviais, iluminação pública, esgotamento sanitário, abastecimento de água potável, energia elétrica pública e domiciliar e vias de circulação. ...................... " (NR) Art. 56. (VETADO) Art. 57. O inciso XXVII do caput do art. 24 da Lei nº 8.666, de 21 de junho de 1993, passa a vigorar com a seguinte redação: "Art. 24. .................. .................................. XXVII - na contratação da coleta, processamento e comercialização de resíduos sólidos urbanos recicláveis ou reutilizáveis, em áreas com sistema de coleta seletiva de lixo, efetuados por associações ou cooperativas formadas exclusivamente por pessoas físicas de baixa renda reconhecidas pelo poder público como catadores de materiais recicláveis, com o uso de equipamentos compatíveis com as normas técnicas, ambientais e de saúde pública. ...................... " (NR) Art. 58. O art. 42 da Lei nº 8.987, de 13 de fevereiro de 1995, passa a vigorar com a seguinte redação: "Art. 42. .................. § 1º Vencido o prazo mencionado no contrato ou ato de outorga, o serviço poderá ser prestado por órgão ou entidade do poder concedente, ou delegado a terceiros, mediante novo contrato. .................................. § 3º As concessões a que se refere o § 2º deste artigo, inclusive as que não possuam instrumento que as formalize ou que possuam cláusula que preveja prorrogação, terão validade máxima até o dia 31 de dezembro de 2010, desde que, até o dia 30 de junho de 2009, tenham sido cumpridas, cumulativamente, as seguintes condições: I - levantamento mais amplo e retroativ o possível dos elementos físicos constituintes da infra-estrutura de bens reversíveis e dos dados financeiros, contábeis e comerciais relativos à prestação dos serviços, em dimensão necessária e suficiente para a realização do cálculo de eventual indenização relativa aos investimentos ainda não amortizados pelas receitas emergentes da concessão, observadas as disposições legais e contratuais que regulavam a prestação do serviço ou a ela aplicáveis nos 20 (vinte) anos anteriores ao da publicação desta Lei; II - celebração de acordo entre o poder concedente e o concessionário sobre os critérios e a forma de indenização de eventuais créditos remanescentes de investimentos ainda não amortizados ou depreciados, apurados a partir dos levantamentos referidos no inciso I deste parágrafo e auditados por instituição especializada escolhida de comum acordo pelas partes; e III - publicação na imprensa oficial de ato formal de autoridade do poder concedente, autorizando a prestação precária dos serviços por prazo de até 6 (seis) meses, renovável até 31 de dezembro de 2008, mediante comprovação do cumprimento do disposto nos incisos I e II deste parágrafo. § 4º Não ocorrendo o acordo previsto no inciso II do § 3º deste artigo, o cálculo da indenização de investimentos será feito com base nos critérios previstos no instrumento de concessão antes celebrado ou, na omissão deste, por avaliação de seu valor econômico ou reavaliação patrimonial, depreciação e amortização de ativos imobilizados definidos pelas legislações fiscal e das sociedades por ações, efetuada por empresa de auditoria independente escolhida de comum acordo pelas partes. § 5º No caso do § 4º deste artigo, o pagamento de eventual indenização será realizado, mediante garantia real, por meio de 4 (quatro) parcelas anuais, iguais e sucessivas, da parte ainda não amortizada de investimentos e de outras indenizações relacionadas à prestação dos serviços, realizados com capital próprio do concessionário o u de seu controlador, ou originários de operações de financiamento, ou obtidos mediante emissão de ações, debêntures e outros títulos mobiliários, com a primeira parcela paga até o último dia útil do exercício financeiro em que ocorrer a reversão. § 6º Ocorrendo acordo, poderá a indenização de que trata o § 5º deste artigo ser paga mediante receitas de novo contrato que venha a disciplinar a prestação do serviço." (NR) Art. 59. (VETADO) Art. 60. Revoga-se a Lei nº 6.528, de 11 de maio de 1978. Brasília, 5 de janeiro de 2007; 186º da Independência e 119º da República. LUIZ INÁCIO LULA DA SILVA Márcio Fort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2026-06-17T14:09:20.777Z</dcterms:created>
  <dcterms:modified xsi:type="dcterms:W3CDTF">2026-06-17T14:09:20.777Z</dcterms:modified>
</cp:coreProperties>
</file>

<file path=docProps/custom.xml><?xml version="1.0" encoding="utf-8"?>
<Properties xmlns="http://schemas.openxmlformats.org/officeDocument/2006/custom-properties" xmlns:vt="http://schemas.openxmlformats.org/officeDocument/2006/docPropsVTypes"/>
</file>