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COMERCIAL</w:t>
      </w:r>
    </w:p>
    <w:p>
      <w:r>
        <w:rPr>
          <w:i/>
          <w:iCs/>
          <w:color w:val="666666"/>
        </w:rPr>
        <w:t xml:space="preserve">DECLARATÓRIA INEXISTÊNCIA DE DÉBITO</w:t>
      </w:r>
    </w:p>
    <w:p/>
    <w:p>
      <w:r>
        <w:rPr>
          <w:b/>
          <w:bCs/>
        </w:rPr>
        <w:t xml:space="preserve">Recurso: </w:t>
      </w:r>
      <w:r>
        <w:t xml:space="preserve">Resp 141.137/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Francisco Peçanha Martins</w:t>
      </w:r>
    </w:p>
    <w:p/>
    <w:p>
      <w:r>
        <w:t xml:space="preserve">TRANSFERÊNCIA DE PRESOS E REFORMA DE CADEIA PÚBLICA — DECISÃO QUE A DEFERE, ASSINANDO PRAZOS PARA AS MEDIDAS RECLAMADAS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Cinge-se propriamente a matéria impugnada ao deferimento da liminar consubstanciada na premência da remoção de presos e início e conclusão das obras de reforma da cadeia, devendo-se reservar para exame de mérito da causa, mediante instrução regular, o aspecto atinente à oportunidade e conveniência das medidas reclamadas pelo órgão da Justiça Pública. - Induvidosamente, a exigüidade do tempo para as providências impostas, em termos de antecipação do provimento judicial postulado, tanto em relação à transferência dos detentos quanto à reconstrução do presídio, estava a inviabilizar-lhes a execução pelo Poder Público. - Com efeito, impunha-se, no caso, a prévia averiguação da existência de vagas em outras unidades prisionais para recebimento dos presos e, por outro lado, estudo sobre a execução das obras, se sob modalidade direta ou contratada pelo Estado, mediante licitação (art. 6º,VII e VII, da Lei nº 8.666/93, com redação da Lei nº 8.883/94). - Daí a desrazoabilidade da medida, sobretudo por importar no antecipado esgotamento do objeto da lide, vedado pelo art. 1º, § 3º, da Lei nº 8.437/92. Ac. de 20-04-2006 Jurisprudência Mineira, Ano 57 - v. 176/177 - janeiro a junho de 2006, pág. 64 EMENTÁRIO FORENSE. Abril, 2007. Ano LIX. Nº 701 jeam EMENTA: - As funções judiciárias relativas à tramitação dos precatórios são de competência do juiz da execução, cabendo ao Presidente do Tribunal de Justiça apenas os atos administrativos nos procedimentos relativos aos precatórios. RESUMO DO ACÓRDÃO: - ..., as funções judiciárias relativas à tramitação dos precatórios são de competência do juiz da execução, cabendo ao Presidente do Tribunal de Justiça apenas os atos administrativos nos procedimentos relativos aos precatórios. - Neste sentido é o entendimento da doutrina: "Na execução dos arts. 730 e 731 do CPC, o concurso de atividades do juiz da causa e do Presidente do Tribunal é obrigatório. A jurisprudência entende, porém, que as funções de um e de outro são de natureza diversa. Ao juiz é que se atribui a função jurisdicional na espécie. O Presidente do Tribunal desempenharia apenas atividade administrativa, quando processasse o precatório oriundo do juiz do feito em que ocorreu a condenação da Fazenda Pública. (Precatórios: problemas e soluções, ORLANDO VAZ, coordenador - Belo Horizonte: Del Rey; Centro Jurídico Brasileiro, 2005, p. 60/61)". - A propósito é o entendimento do Superior Tribunal de Justiça: "Os incidentes ou questões surgidos no cumprimento dos precatórios serão solucionados pelo juiz do processo de execução. A função do Presidente do Tribunal no processamento do requisitório de pagamento é de índole essencialmente administrativa, não abrangendo as decisões ou recursos de natureza jurisdicional. (STJ, 2ª T., Resp 141.137/SP, Rel. Min. Francisco Peçanha Martins, ac. 7.10.1999, DJU 13.12.1999, p. 132. No mesmo sentido: STJ, 1ª T., Resp 187.831/SP, Rel. Min. José Delgado, ac. 17.11.1998, DJU, 22.3.1999, p.83)". - Ademais e consoante afirmado pelo MM. Juiz singular, o precatório se encontra em fase de expedição, logo, inexiste óbice ao deferimento do pedido do agravado. - Portanto, nego provimento ao recurso. Ac.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Desrazoável se mostra o deferimento de liminar em ação civil pública impositiva da remoção de presos e reforma de cadeia pública em prazos exíguos, insuscetíveis de pronto atendimento pelo Poder Público, exaurindo, de resto, o objeto da ação sem exame de mérito quanto à necessidade e conveniência da obra.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2026-10-26T02:48:02.444Z</dcterms:created>
  <dcterms:modified xsi:type="dcterms:W3CDTF">2026-10-26T02:48:02.444Z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