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/>
    <w:p>
      <w:r>
        <w:t xml:space="preserve">DECLARAÇÃO PREJUDICIAL — JULGAMENTO DO MÉRITO - 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Há de se examinar, de início, a ocorrência de decadência ou não, para o mandado de segurança. - No rigor dos termos, não se pode negar que, se a retificação da aposentadoria ocorreu em junho de 2004, conforme documentos de fls., em princípio, era de se reconhecer o prazo decadencial para o mandado de segurança, já que, entre o ato e a propositura da ação, 31 de maio de 2005, passaram mais de cento e vinte dias. Há, na hipótese, porém, particularidade que deve ser levada em consideração para a exata e justa aplicação da lei. - O mandado de segurança, procedimento especial que depende de prova pré-constituída, de direito líquido e certo, é espécie de ação mandamental que determina à autoridade coatora o cumprimento ou abstenção de ato para que tal se dê. No entanto, muitas vezes, o fundamento específico e exclusivo é simples declaração de existência ou inexistência de relação jurídica, e, neste caso, poderão os fins ser atingidos, com a restrição dispensada, quando não há dependência de prova a ser produzida, em nada diferindo, na essência e no conteúdo, o remédio constitucional da simples ação declaratória. - No caso dos autos, um dos fundamentos básicos do pedido, declaração prejudicial da procedência ou não do "mandamus", seria a ocorrência de decadência do Estado de fazer a revisão na aposentadoria da Impetrante. Assim, se remetidas as partes para as vias ordinárias, o julgamento, neste particular, seria, em tudo por tudo, identificado com o que se proferisse, em caso de procedência, com o remédio heróico. - Processo não é fim em si mesmo. Neste caso, se a questão é litigiosa e tanto faz ser decidida no mandado de segurança, ou na simples ação declaratória, o resultado será o mesmo. Daí, no meu entender, ainda que ocorra a decadência para o "mandamus", poder, sem nenhum prejuízo das partes, ser decidida a matéria com todas as conseqüências de que dela advêm. - Na verdade, o art. 65 da Lei Estadual 14.184/02, estabelece que ocorre decadência, se, em cinco anos, a anulação do ato de que decorram efeitos favoráveis para o destinatário não for promovida. - Argumenta o Impetrado que, se a LE 14.184 foi promulgada apenas em 2002, a partir de então é que se começaria a contar o prazo decadencial. Ledo engano, porém, pois, se, nos termos do art. 6º, da LICC, "A lei em vigor terá efeito imediato e geral...", e o art. 65 da Lei mineira, é expresso em afirmar que a decadência tem seu prazo iniciado a partir da data em que foi praticado o ato, o termo "a quo" para a declaração de nulidade é de 1994, há mais de dez anos, portanto. - Com tais fundamentos, não encontrando óbice para declarar o lapso decadencial para retificação efetuada, CONFIRMO a r. sentença, determinando a volta ao "statu quo", conforme se orientou em primeiro grau, prejudicado o recurso voluntário. Ac. de 21-03-2006 Jurisprudência Mineira, Ano 57 - v. 176/177 - janeiro a junho de 2006, pág. 122 EMENTÁRIO FORENSE. Abril, 2007. Ano LIX. Nº 701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Embora ocorra decadência no mandado de segurança, se a questão básica é simples declaração prejudicial, o mérito pode ser julgado.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2026-09-11T06:35:27.247Z</dcterms:created>
  <dcterms:modified xsi:type="dcterms:W3CDTF">2026-09-11T06:35:27.247Z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