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Relator: </w:t>
      </w:r>
      <w:r>
        <w:t xml:space="preserve">Valéria Maron</w:t>
      </w:r>
    </w:p>
    <w:p/>
    <w:p>
      <w:r>
        <w:t xml:space="preserve">130. FORNECIMENTO DE ÁGUA — ICMS - COBRANÇA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130 "O fornecimento de água limpa e potável é serviço essencial, sendo ilegal a cobrança do ICMS por parte das empresas concessionárias". Referência: Uniformização de Jurisprudência nº. 2006.018.00005 - Julgamento em 04/01//2007 - Relator: Desembargadora Valéria Maron. Votação unânime. EMENTÁRIO FORENSE. Abril, 2007. Ano LIX. Nº 701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2026-07-28T03:16:44.961Z</dcterms:created>
  <dcterms:modified xsi:type="dcterms:W3CDTF">2026-07-28T03:16:44.961Z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