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Apelação Cível 49.013/2005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>
      <w:r>
        <w:rPr>
          <w:b/>
          <w:bCs/>
        </w:rPr>
        <w:t xml:space="preserve">Julgado em: </w:t>
      </w:r>
      <w:r>
        <w:t xml:space="preserve">19/09/2005</w:t>
      </w:r>
    </w:p>
    <w:p/>
    <w:p>
      <w:r>
        <w:t xml:space="preserve">BUSCA E APREENSÃO — CONVERSÃO EM AÇÃO DE DEPÓSITO - PRISÃO CIVIL - ADMISSIBILIDADE - VOTO VENCIDO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busca e apreensão. Conversão. Prisão civil. Na forma do parágrafo único do art. 904 do CPC, convertendo-se a ação de busca e apreensão em ação de depósito e não cumprido o mandado de entrega do bem, admite-se a decretação da prisão do depositário infiel. Recurso provido por maioria. Visto, relatada e discutida a Apelação Cível nº 49.013/2005 em que e Apelante Banco Sudameris Brasil S/A e Apelado Euclides José de Almeida Filho. Acordam os Desembargadores que integram a Quinta Câmara Cível do Tribunal de Justiça do Estado do Rio de Janeiro em dar provimento ao recurso para, na forma do parágrafo único do art. 904 do CPC, determinar-se a prisão do devedor fiduciário, em caso de descumprimento do mandado de entrega do bem, mantida no mais a r. sentença. Vencido o relator que lhe negava provimento. Decisão por maioria de votos. A instituição financeira autora, ora apelante, ajuizou ação de busca e apreensão, convolada em ação de depósito, objetivando reaver automóvel alienado com garantia fiduciária para o réu, ora apelado, na qualidade de devedor fiduciante. O MM. Juízo da 1ª Vara Cível de Bangu prolatou a r. sentença de f. 57/58, julgando procedente o pedido para determinar a devolução do objeto da alienação fiduciária, ou a importância equivalente ao valor do débito. Afastou, por sua vez, a aplicação da medida coercitiva de prisão civil. Inconformado, o autor interpôs apelação de f. 60 e ss., sustentando a compatibilidade do sistema do Decreto-lei nº 911/69, alusivo à disciplina da ação de depósito prevista no Código de Processo Civil, com a regra constitucional que autoriza a prisão civil em caso de depositário infiel. Voto Assiste razão ao recorrente, que pugna pela reforma parcial da sentença para que seja aplicada ao apelado a pena de prisão civil, em razão de descumprimento do disposto no art. 904 do CPC c/c art. 4º do Decreto-lei nº 911/69. Com efeito, o art. 4º do Decreto-Lei nº 911/69 diz, expressamente , que, se o bem não for encontrado na posse do devedor, o credor poderá requerer a conversão do pedido de busca e apreensão em ação de depósito. Na hipótese, mesmo sendo caso de convolação em ação de depósito, a mais alta Corte de Justiça do país tem, sistematicamente, acolhido a tese do cabimento da prisão civil, depois do plenário ter firmado o entendimento de que, "em face da Carta Magna de 1988, persiste a constitucionalidade da prisão civil do depositário infiel em se tratando de alienação fiduciária, bem como de que o pacto de São José da Costa Rica, além de não poder contrapor-se à permissão do art. 5º, LXVII, da mesma Constituição não derrogou, por ser norma infraconstitucional geral, as normas infraconstitucionais especiais sobre prisão civil do depositário infiel (RE 229.370-4/SP, Rel. Min. MOREIRA ALVES). O texto legal que trata da possibilidade da decretação da prisão civil do depositário infiel é claro: "julgada procedente a ação, ordenará o juiz a expedição de mandado para entrega, em 24 (vinte e quatro) horas, da coisa ou do equivalente em dinheiro". O parágrafo único permite a decretação da prisão, não sendo cumprido o mandado. Assim, dá-se provimento ao recurso para, na forma do parágrafo único do art. 904 do CPC, determinar-se a prisão do devedor fiduciário, em caso de descumprimento do mandado de entrega do bem. Rio de Janeiro, 12 de janeiro de 2006. Des. Paulo Gustavo Horta - Relator designado e Presidente Voto Vencido Eis as razões pelas quais ousei divergir do entendimento da ilustrada maioria. A discussão travada em sede recursal reside exclusivamente no cabimento de prisão civil como medida coercitiva para forçar o devedor fiduciante ao cumprimento da obrigação de entregar o bem alienado em favor do credor fiduciário. A questão não é nova e tem suscitado muita controvérsia no âmbito da jurisprudência dos nossos Tribunais. A nosso sentir, afigura-se correto o entendimento no sentido de que o ordenamento infraconstitucional não pode ampliar os conceitos utilizados na Constituição Federal para o fim de estender os seus limites. No caso da prisão civil, a regra constitucional é muito clara ao limitá-la às hipóteses de devedor de alimentos e de depositário infiel. Não pode o legislador ordinário, por exemplo, ampliar o conceito de "alimentos" para o fim de estender a medida coercitiva a outros créditos assemelhados. Assim como não pode equiparar a depositário o possuidor de determinado bem a outro título. No caso da alienação fiduciária em garantia, o devedor fiduciante não é,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2026-07-28T07:05:18.671Z</dcterms:created>
  <dcterms:modified xsi:type="dcterms:W3CDTF">2026-07-28T07:05:18.671Z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