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Paulo Roberto Sampaio Jungutta</w:t>
      </w:r>
    </w:p>
    <w:p/>
    <w:p>
      <w:r>
        <w:t xml:space="preserve">CONDOMÍNIO EDILÍCIO — LIMITAÇÃO DE ACESSO À ÁREA COMUM - PLEITO DE RETIRADA DE OBSTÁCULO -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936 - CONDOMÍNIO EDILÍCIO - LIMITAÇÃO DE ACESSO À ÀREA COMUM - PLEITO DE RETIRADA DE OBSTÁCULO - PROVIMENTO DO RECURSO. Condomínio edilício. Autor que é proprietário da unidade autônoma situada abaixo da unidade do réu. Autor que reclama a limitação que lhe foi imposta pelo réu em relação ao acesso à área comum (manutenção de grade na escada que dá acesso ao telhado). Pleito de retirada do obstáculo e de indenização de dano moral. Sentença que declara a falta de interesse da obrigação de fazer, pois o réu retirou a grade questionada, e julga improcedente o pleito de indenização de dano moral. Recurso da autora para obter a reparação moral. Réu/recorrido que violou dever condominial (§ 2º, Art. 1.331 do CCB/02) ao impedir o acesso, por parte do autor/recorrente, à área de uso comum (telhado). Manutenção da grade, por parte do réu/recorrido, que se constitui em ato ilícito, implicando na obrigação de reparar o dano (art. 186 do CCB/02). Sofre dano moral que, como o autor, é condômino de um edifício e não pode utilizar área comum porque seu vizinho, também condômino, mantém uma grade na escada, impedindo o acesso ao telhado e impossibilitando a realização de serviços essenciais na unidade condominial (f. 48). Arbitramento que se mostra justo no patamar de R$ 1.000,00, atendendo aos critérios compensatório e pedagógico. Face ao exposto, voto no sentido de dar provimento ao recurso da parte autora, para julgar procedente o pedido de indenização de dano moral, fixando o valor da indenização em R$ 1.000,00, acrescidos de juros de 1% ao mês, contados da citação (abril/05), devidamente corrigido à época do pagamento. Processo nº 2006.700.012087-4. Primeira Turma Recursal Cível. Relator: Juiz Paulo Roberto Sampaio Jungutta. Julgamento: 28/03/2006. Cadernos de Jurisprudência. Juizados Especiais. Editora Espaço Jurídico. Setembro de 2006. Vol. 018. Pág. 46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2026-10-26T03:02:00.303Z</dcterms:created>
  <dcterms:modified xsi:type="dcterms:W3CDTF">2026-10-26T03:02:00.303Z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