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Relator: </w:t>
      </w:r>
      <w:r>
        <w:t xml:space="preserve">André Luiz Cidra</w:t>
      </w:r>
    </w:p>
    <w:p/>
    <w:p>
      <w:r>
        <w:t xml:space="preserve">DEFEITO NO SISTEMA VELOXMAIL — MAJORAÇÃO DA MULTA COMINATÓRIA - VIOLAÇÃO DE DIREITO LÍQUIDO E CERTO - CONCESSÃO DA SEGURANÇA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950 - MANDADO DE SEGURANÇA - DEFEITO NO SISTEMA VELOXMAIL - MAJORAÇÃO DA MULTA COMINATÓRIA - VIOLAÇÃO DE DIREITO LÍQUIDO E CERTO - CONCESSÃO DA SEGURANÇA. O mandado de segurança foi impetrado contra decisão que reconsiderou outra anteriormente proferida pela juíza titular que majorara a multa cominatória por reputar descumprida a obrigação de fazer que foi objeto de conciliação homologada, tendo a decisão impugnada acolhido o argumento da litisconsorte de que teria realizado inspeção na rede externa e interna da linha telefônica e não identificara qualquer defeito no serviço, aduzindo o impetrante que o vício que motivou a demanda originária foi no sistema de envio do e-mail, estando na reparação deste defeito específico o dever jurídico a que se vinculou a Telemar, reconhecendo a decisão que entendeu como cumprida a obrigação como violadora de seu direito líquido e certo e que viabilizaria a impetração do presente "mandamus". Foi indeferida a liminar. Manifestação da litisconsorte a f. 55/63. Informações prestadas pelo juízo impetrado na f. 69. Parecer do Ministério Público a f. 71/72, opinando pela denegação da segurança. Na falta de previsão de recurso próprio para os atos processuais decisórios destoantes de sentença no microssistema dos juizados especiais, viável é a utilização do mandado de segurança como instrumento viável a impedir a ocorrência de qualquer lesão, já que afronta ao critério de justiça que as ofensas a bem jurídico permaneçam sem remédio processual. Da análise das provas dos autos extrai-se como inconcusso que o acordo homologado previa a obrigação da empresa prestadora de enviar profissional técnico para elaborar laudo sobre eventual defeito que viesse a constatar, reparando-o, estabelecendo-se prazo de dez dias para o cumprimento da obrigação, sob pena de incidência de multa diária de R$ 50,00. Vício que vinha sendo motivo de reclamação administrativa e que foi objeto da pret ensão deduzida em juízo que se relacionava com o serviço velox, consistente inicialmente em óbice no envio de e-mail e depois também no recebimento das mensagens, tendo a litisconsorte apresentado no decêndio seguinte ao acordo petição relatando que foi realizada inspeção na rede externa e interna da linha telefônica, quando o defeito era no sistema velox de internet, não instruindo os autos sequer com um comprovante de atendimento ao cliente discriminando o serviço prestado, levando ao convencimento de que efetivamente o funcionário da litisconsorte desconhecia o que estava incumbido de consertar. Situação de perduração do vício que é constatada posteriormente por outro funcionário (f. 44 do MS e f. 57 dos autos originais), consoante documento datado de 20/07/05, que informa que o defeito encontrado no cliente foi um conflito de autenticação do veloxmail (login/senha), quando conectados simultaneamente. Defeito não sanado. Como se observa, o funcionário relata a existência de defeito no sistema veloxmail, arredando, destarte, o argumento da Telemar de que o vício seria do provedor. Ademais, não se mostra plausível que a empresa prestadora anuísse com conciliação para conserto do defeito, pagando inclusive determinado valor a título indenizatório, sem que tivesse previamente averiguado a existência do vício reclamado pelo consumidor, não sendo portanto admissível como veraz o fato da concessionária ter apurado apenas no prazo judicialmente concedido para a sanação do defeito que este não mais existia na oportunidade do acordo. Situação que se apresenta absurda até mesmo para a empresa mais demandada nos juizados especiais, cuja defectibilidade do serviço prestado é notória. A decisão impugnada efetivamente violou direito líquido e certo da impetrante, na medida em que reconheceu cumprida obrigação não satisfeita, sendo portanto adequada a via do mandado de segurança para reconhecimento da manutenção da obrigação da litisconsorte de promover a sanação do vício, mantendo-se inclusive a multa cominatória majorada, em face da recalcitrância da devedora no exato cumprimento da obrigação que lhe compete. Ante o exposto, voto pela concessão da segurança para o fim de revogar-se a decisão impugnada de f. 52 dos autos originais, reconhecendo como hígida a decisão de f. 32 dos mesmos autos que majorou a multa diária apelo descumprimento parcial do que ficou acordado e homologado. Processo nº 2005.700.058253-3. Segunda Turma Recursal Cível. Relator: Juiz André Luiz Cidra. Julgamento: 15/02/2006. Cadernos de Jurisprudência. Juizados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2026-09-10T22:28:04.337Z</dcterms:created>
  <dcterms:modified xsi:type="dcterms:W3CDTF">2026-09-10T22:28:04.337Z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