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Relator: </w:t>
      </w:r>
      <w:r>
        <w:t xml:space="preserve">Juíza Ana Maria Pereira</w:t>
      </w:r>
    </w:p>
    <w:p/>
    <w:p>
      <w:r>
        <w:t xml:space="preserve">CAARJ — LIMITAÇÃO ANUAL DO NÚMERO DE RESSONÂNCIAS MAGNÉTICAS - CLÁUSULA ABUSIVA - DANO MORAL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958 - PLANO DE SAÚDE - CAARJ - LIMITAÇÃO ANUAL DO NÚMERO DE RESSONÂNCIAS MAGNÉTICAS - CLÁUSULA ABUSIVA - DANO MORAL. Ação proposta pelo ora recorrente objetivando compelir a ré a autorizar a realização de ressonância magnética determinada pelo médico, bem como indenização por dano moral decorrente da recusa de atendimento pelo plano de saúde. Tutela antecipada deferida a f. 29, para determinar que a ré autorize a realização de ressonância magnética abdominal. Sentença que julga extinto o processo, sem apreciação do mérito, ante a conclusão de que a CAARJ deve ser demandada perante a justiça federal. Recurso da autora. É o relatório. Competência da justiça estadual para as causas em que a CAARJ figura como parte, por ter ela personalidade jurídica e patrimônio distintos da OAB. Extinção do processo sem análise do mérito que se afasta, procedendo-se, desde logo, a sua apreciação, nos termos do que autoriza o art. 515, § 3º do CPC, dispositivo legal plenamente aplicável em sede de juizado especial cível. Autora, ora recorrente, que é associada do plano de saúde administrado pela ré. Relação de consumo. Cláusula contratual que limita o número de ressonâncias magnéticas anuais que se revela abusiva, pois a quantidade de exames a serem realizados pelo paciente deve ser objeto de decisão médica. Dano moral configurado, pois a recusa do exame, embora a recorrente estivesse em dia com o pagamento das mensalidades, por certo lhe ensejou aborrecimentos que superam os do cotidiano. Provimento do recurso para anular a sentença de f. 71/72, reconhecendo a competência do juizado especial cível estadual para a causa, e, procedendo à análise do mérito, nos termos do que autoriza o art. 515, § 3º do CPC, condenar a recorrida a autorizar a realização de ressonância magnética, sem limitação de quantidade anual, conforme recomendação médica, sob pena de multa de R$ 800,00, por recusa, bem como ao pagamento de R$ 2.000,00, para reparação do dano moral, corrigidos a partir desta data até o efetivo pagamento, e acrescidos de juros de mora a partir da citação. Sem ônus sucumbenciais porque não configurada a hipótese prevista no art. 55, "caput" da Lei nº 9.099/95. Processo nº 2005.700.09269-5. Primeira Turma Recursal Cível. Relatora: Juíza Ana Maria Pereira de Oliveira. Julgamento: 12/07/2005. Cadernos de Jurisprudência. Juizados Especiais. Editora Espaço Jurídico. Setembro de 2006. Vol. 018. Pág. 70 EMENTÁRIO FORENSE. Abril, 2007, Ano LIX. Nº 701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2026-09-11T00:28:03.408Z</dcterms:created>
  <dcterms:modified xsi:type="dcterms:W3CDTF">2026-09-11T00:28:03.408Z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