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AÇÃO POLICIAL</w:t>
      </w:r>
    </w:p>
    <w:p/>
    <w:p>
      <w:r>
        <w:rPr>
          <w:b/>
          <w:bCs/>
        </w:rPr>
        <w:t xml:space="preserve">Recurso: </w:t>
      </w:r>
      <w:r>
        <w:t xml:space="preserve">REsp 302212</w:t>
      </w:r>
    </w:p>
    <w:p/>
    <w:p>
      <w:r>
        <w:t xml:space="preserve">SEGURO — CÓDIGO DE DEFESA DO CONSUMIDOR - RELAÇÃO CONTRATUAL ENTRE SEGURADORA E SEGURADO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infringentes. Ação indenizatória. Controvérsia quanto à aplicação do código de defesa do consumidor nas relações contratuais realizadas entre seguradora e segurado. Incidência do codex consumerista e não do código civil de 1916, mesmo em matéria de prescrição. Prestígio ao voto vencedor. Conhecimento e improvimento do recurso. Vistos, relatados e discutidos estes autos de embargos infringentes nº 498/2005, sendo Embargante Sul América Seguro Saúde S/A e Embargado Eliézio Oliveira Da Silva. Acordam os Desembargadores que integram a Décima Sétima Câmara Cível do Tribunal de Justiça do Estado do Rio de Janeiro, por unanimidade, em conhecer e improver o recurso, em consonância com o voto do Relator. A empresa recorrente, ré em ação indenizatória, interpõe estes embargos infringentes (f. 245/251) em ataque à decisão majoritária da 4ª Câmara Cível que proveu o apelo do autor, acolhendo a preliminar suscitada quanto à matéria prescricional e determinou o retorno dos autos ao juízo de origem para exame e decisão do mérito, nos exatos termos do voto majoritário da lavra do Desembargador SIDNEY HARTUNG revisor e designado para redator do acórdão. Cuida-se de ação de indenização julgada extinta com o julgamento do mérito, com base no artigo 269, inciso IV, do Código de Processo Civil, decretando a prescrição da pretensão autoral. O autor recorreu e o apelo provido por maioria de votos. O entendimento vencedor (f. 241/242) acata a tese de que o prazo prescricional, no caso de seguro saúde, deve ser regulado pelo Código de Defesa do Consumidor, observadas as disposições contidas nos seus artigos 12, 14 e 27, e não pelo Código Civil de 1916. O voto vencido (f. 243), da lavra do Desembargador JAIR PONTES DE ALMEIDA, no entanto, entendera que deve ser aplicado o Código de Civil de 1916, por não estar diante de um fato do produto ou do serviço, mas de verdadeiro inadimplemento contratual, o que afastaria a incidência do artigo 27, da Lei 8.078/1990, no mesmo sentido da sentença. Requer, a embargante, a reforma do acórdão para prevalecer integralmente o voto divergente. Voto O acórdão sob ataque reforma sentença da Trigésima Sétima Vara Cível da Comarca da Capital que extingue o processo com o julgamento do mérito vez que acolhida a prescrição da pretensão autoral. A controvérsia está em aplicar ou não o Código de Proteção e de Defesa do Consumidor em relações contratuais entre seguradora de plano de saúde e segurado. Por diversas vezes julguei no sentido de sempre ser aplicada, em relações como a do caso concreto, a Lei nº 8.078/1990, no entendimento da existência de relação de consumo entre as partes, porquanto não se trata de mero inadimplemento contratual. Vai além disto, trata de relação de confiança, de boa-fé, ambas protegidas pelo Código de Proteção e de Defesa do Consumidor. Trago a ementa de minha lavra: "2001.001.26544 - Apelação Cível Des. RAUL CELSO LINS E SILVA Julgamento: 13/03/2002 Décima Sétima Câmara Cível Seguro de vida em grupo. Morte do segurado. Prêmio de seguro. Recusa de pagamento. Seguro em grupo. Contrato. Doença pré-existente. Morte do segurado. Não pagamento aos genitores do falecido. Procedência do pedido. Preliminar de prescrição. Inaplicabilidade do artigo 178. § 6º. Inciso II, do Código Civil. Relação de consumo. Ocorrência de defeito relativo a prestação do serviço. Nos termos do artigo 149 do Código de Defesa do Consumidor, o prazo prescricional é de cinco anos, em consonância ao que dispõe o artigo 27 do referido diploma. No mérito, o falecido funcionário, firmado por sua empregadora, mantém o contrato de seguro desde 1.997, sendo renovado em 1.998 e 1.999. Qualquer omissão é da responsabilidade da contratante, bem como do risco assumido pela seguradora que recebeu mensalmente o pagamento do seguro realizado. Rejeição da preliminar. Artigo 21, do código de processo civil. Despesas processuais rateadas e honorários advoc atícios compensados. Provimento parcial do apelo, apenas para retificar a verba sucumbencial, mantida, no mais, a sentença recorrida" (Destaques deste Relator). O Superior Tribunal de Justiça também já se manifestou no mesmo sentido: "Processo: REsp 302212 / RJ; Recurso Especial 2001/0010266-2 Relator: Ministro CASTRO FILHO Órgão Julgador: Terceira Turma Data do Julgamento: 07/06/2005 Data da Publicação/Fonte: DJ 27.06.2005 p. 362 Ementa: Recurso especial. ação de indenização. Transporte marítimo. Prescrição. Código de defesa do consumidor. Aplicação. I - A segurador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2026-07-27T23:38:32.746Z</dcterms:created>
  <dcterms:modified xsi:type="dcterms:W3CDTF">2026-07-27T23:38:32.746Z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