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28174/2005</w:t>
      </w:r>
    </w:p>
    <w:p/>
    <w:p>
      <w:r>
        <w:t xml:space="preserve">RESPONSABILIDADE CIVIL — MUNICÍPIO - FALHA NA PORTA GIRATÓRIA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indenização. Acidente. Porta giratória. Repartição pública. Inexistência de causa de exclusão da responsabilidade objetiva. Serviço público. Teoria do risco administrativo (§ 6º, art. 37, CRFBB/88). Dano moral. Ocorrência. A indenização não deve ser inexpressiva, nem fonte de enriquecimento sem causa. Dano material não comprovado. Recursos conhecidos, desprovido o do autor e parcialmente provido o do réu. Vistos, relatados e discutidos os autos da Apelação nº 28174/2005 em que são Apelantes Município de Volta Redonda e Nelson Souza e Apelados os mesmos. Acordam os Desembargadores que integram a colenda Oitava Câmara Cível do E. Tribunal de Justiça do Estado do Rio de Janeiro, por unanimidade de votos, conhecer os recursos, desprover o do autor e prover parcialmente o do réu. A CRFB/88, artigo 37, § 6º, estabelece regime único da responsabilidade civil da administração pública, que é objetiva (Teoria do Risco). O Município responde objetivamente pelos danos decorrentes do serviço público que oferece aos seus administrados. Só se exime do dever de indenizar, se provada excludente da responsabilidade objetiva, o que não logrou comprovar. O fato narrado na inicial é incontroverso, eis que não foi negado pelo réu, sendo certo que ao instalar porta giratória na entrada de suas repartições de acesso público, assume a responsabilidade por falhas nos equipamentos de suas instalações. A f. 10/15, verifica-se que o acidente foi apurado em processo administrativo, sendo realizado reparo na porta que causou lesão no autor/apelante (f. 13). Há dano moral. A indenização não deve ser vil, inexpressiva, não atendendo sequer a seu fim compensatório e corretivo. Por outro lado, não pode ser transformada em fonte de enriquecimento sem causa, descaracterizando sua finalidade. O "quantum" indenizatório fixado pelo d. juiz monocrático é excessivo. No caso presente, entendo como justa e razoável indenização no valor de R$5.000,00 (Cinco Mil Reais). Dano material não foi comprovado. Pelo exposto, nego provimento ao recurso do autor e dou parcial provimento ao do réu, para fixar indenização de dano moral de R$ 5.000,00, mantida a r. Sentença no seus demais termos. Rio de Janeiro 26 de maio de 2006 Des. João Carlos Braga Guimarães - Presidente e Relator Arquivo do EMFOR, TJRJ/RD69.229 EMENTÁRIO FORENSE. Abril, 2007.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2026-10-26T04:39:43.119Z</dcterms:created>
  <dcterms:modified xsi:type="dcterms:W3CDTF">2026-10-26T04:39:43.119Z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