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6.103 DE 30-04-2007</w:t>
      </w:r>
    </w:p>
    <w:p/>
    <w:p/>
    <w:p>
      <w:r>
        <w:t xml:space="preserve">ARTS. 243 E 293 DO REGULAMENTO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6.103, DE 30 DE ABRIL DE 2007 Antecipa para 2 de maio de 2007 a aplicação do Decreto nº 70.235, de 6 de março de 1972, relativamente aos prazos processuais e à competência para julgamento em primeira instância, de processos administrativo-fiscais relativos às contribuições de que tratam os arts. 2º e 3º da Lei nº 11.457, de 16 de março de 2007, e dá outras providências. O PRESIDENTE DA REPÚBLICA, no uso da atribuição que lhe confere o art. 84, inciso IV, da Constituição, e tendo em vista o disposto no caput e § 1º, incisos I e II, do art. 25 da Lei nº 11.457, de 16 de março de 2007, DECRETA: Art. 1º Fica antecipada para 2 de maio de 2007 a aplicação do Decreto nº 70.235, de 6 de março de 1972, aos processos administrativo-fiscais de determinação e exigência de créditos tributários relativos às contribuições de que tratam os arts. 2º e 3º da Lei nº 11.457, de 16 de março de 2007, no que diz respeito aos prazos processuais e à competência para julgamento em primeira instância, pelos órgãos de deliberação interna e natureza colegiada da Secretaria da Receita Federal do Brasil. Art. 2º Os arts. 243 e 293 do Regulamento da Previdência Social, aprovado pelo Decreto nº 3.048, de 6 de maio de 1999, passam a vigorar com a seguinte redação: "Art. 243. ...................... ........................................ § 2º Recebida a notificação, o empregador doméstico, a empresa ou o segurado terão o prazo de trinta dias para efetuar o pagamento ou apresentar impugnação. ..........................." (NR) "Art. 293. Constatada a ocorrência de infração a dispositivo deste Regulamento, será lavrado auto-de-infração com discriminação clara e precisa da infração e das circunstâncias em que foi praticada, contendo o dispositivo legal infringido, a penalidade aplicada e os critérios de gradação, e indicando local, dia e hora de sua lavratura, observadas as normas fixadas pelos órgãos competentes. § 1º Recebido o auto-de-infração, o autuado terá o prazo de trinta dias, a contar da ciência, para efetuar o pagamento da multa de ofício com redução de cinqüenta por cento ou impugnar a autuação. § 2º Impugnada a autuação, o autuado, após a ciência da decisão de primeira instância, poderá efetuar o pagamento da multa de ofício com redução de vinte e cinco por cento, até a data limite para interposição de recurso. ........................... "(NR) Art. 3º Este Decreto entra em vigor na data de sua publicação. Brasília, 30 de abril de 2007; 186º da Independência e 119º da República. LUIZ INÁCIO LULA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2026-07-28T00:12:27.919Z</dcterms:created>
  <dcterms:modified xsi:type="dcterms:W3CDTF">2026-07-28T00:12:27.919Z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