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6.103 DE 30-04-2007</w:t>
      </w:r>
    </w:p>
    <w:p/>
    <w:p/>
    <w:p>
      <w:r>
        <w:t xml:space="preserve">ARTS. 243 E 293 DO REGULAMENTO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6.103, DE 30 DE ABRIL DE 2007 Antecipa para 2 de maio de 2007 a aplicação do Decreto nº 70.235, de 6 de março de 1972, relativamente aos prazos processuais e à competência para julgamento em primeira instância, de processos administrativo-fiscais relativos às contribuições de que tratam os arts. 2º e 3º da Lei nº 11.457, de 16 de março de 2007, e dá outras providências. O PRESIDENTE DA REPÚBLICA, no uso da atribuição que lhe confere o art. 84, inciso IV, da Constituição, e tendo em vista o disposto no caput e § 1º, incisos I e II, do art. 25 da Lei nº 11.457, de 16 de março de 2007, DECRETA: Art. 1º Fica antecipada para 2 de maio de 2007 a aplicação do Decreto nº 70.235, de 6 de março de 1972, aos processos administrativo-fiscais de determinação e exigência de créditos tributários relativos às contribuições de que tratam os arts. 2º e 3º da Lei nº 11.457, de 16 de março de 2007, no que diz respeito aos prazos processuais e à competência para julgamento em primeira instância, pelos órgãos de deliberação interna e natureza colegiada da Secretaria da Receita Federal do Brasil. Art. 2º Os arts. 243 e 293 do Regulamento da Previdência Social, aprovado pelo Decreto nº 3.048, de 6 de maio de 1999, passam a vigorar com a seguinte redação: "Art. 243. ...................... ........................................ § 2º Recebida a notificação, o empregador doméstico, a empresa ou o segurado terão o prazo de trinta dias para efetuar o pagamento ou apresentar impugnação. ..........................." (NR) "Art. 293. Constatada a ocorrência de infração a dispositivo deste Regulamento, será lavrado auto-de-infração com discriminação clara e precisa da infração e das circunstâncias em que foi praticada, contendo o dispositivo legal infringido, a penalidade aplicada e os critérios de gradação, e indicando local, dia e hora de sua lavratura, observadas as normas fixadas pelos órgãos competentes. § 1º Recebido o auto-de-infração, o autuado terá o prazo de trinta dias, a contar da ciência, para efetuar o pagamento da multa de ofício com redução de cinqüenta por cento ou impugnar a autuação. § 2º Impugnada a autuação, o autuado, após a ciência da decisão de primeira instância, poderá efetuar o pagamento da multa de ofício com redução de vinte e cinco por cento, até a data limite para interposição de recurso. ........................... "(NR) Art. 3º Este Decreto entra em vigor na data de sua publicação. Brasília, 30 de abril de 2007; 186º da Independência e 119º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2026-10-26T02:37:45.300Z</dcterms:created>
  <dcterms:modified xsi:type="dcterms:W3CDTF">2026-10-26T02:37:45.300Z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